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065D1" w14:textId="77777777" w:rsidR="00303681" w:rsidRDefault="00BC1AE1">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#9</w:t>
      </w:r>
      <w:r>
        <w:rPr>
          <w:rFonts w:eastAsia="宋体" w:hint="eastAsia"/>
          <w:sz w:val="22"/>
          <w:szCs w:val="22"/>
          <w:lang w:eastAsia="zh-CN"/>
        </w:rPr>
        <w:t>9</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sz w:val="22"/>
          <w:szCs w:val="22"/>
          <w:lang w:eastAsia="zh-CN"/>
        </w:rPr>
        <w:t>911929</w:t>
      </w:r>
    </w:p>
    <w:p w14:paraId="0E9EC11F" w14:textId="2B12D2A0" w:rsidR="00303681" w:rsidRDefault="00BC1AE1">
      <w:pPr>
        <w:snapToGrid w:val="0"/>
        <w:spacing w:line="240" w:lineRule="auto"/>
        <w:rPr>
          <w:rFonts w:ascii="Arial" w:eastAsia="MS Mincho" w:hAnsi="Arial"/>
          <w:b/>
          <w:lang w:eastAsia="en-US"/>
        </w:rPr>
      </w:pPr>
      <w:r>
        <w:rPr>
          <w:rFonts w:ascii="Arial" w:hAnsi="Arial" w:hint="eastAsia"/>
          <w:b/>
        </w:rPr>
        <w:t>Reno</w:t>
      </w:r>
      <w:r>
        <w:rPr>
          <w:rFonts w:ascii="Arial" w:hAnsi="Arial" w:hint="eastAsia"/>
          <w:b/>
          <w:lang w:eastAsia="ja-JP"/>
        </w:rPr>
        <w:t>,</w:t>
      </w:r>
      <w:r>
        <w:rPr>
          <w:rFonts w:ascii="Arial" w:hAnsi="Arial"/>
          <w:b/>
          <w:lang w:eastAsia="ja-JP"/>
        </w:rPr>
        <w:t xml:space="preserve"> </w:t>
      </w:r>
      <w:r>
        <w:rPr>
          <w:rFonts w:ascii="Arial" w:hAnsi="Arial" w:hint="eastAsia"/>
          <w:b/>
        </w:rPr>
        <w:t>USA</w:t>
      </w:r>
      <w:r>
        <w:rPr>
          <w:rFonts w:ascii="Arial" w:hAnsi="Arial"/>
          <w:b/>
          <w:lang w:eastAsia="ja-JP"/>
        </w:rPr>
        <w:t>,</w:t>
      </w:r>
      <w:r>
        <w:rPr>
          <w:rFonts w:ascii="Arial" w:hAnsi="Arial" w:hint="eastAsia"/>
          <w:b/>
          <w:lang w:eastAsia="ja-JP"/>
        </w:rPr>
        <w:t xml:space="preserve"> </w:t>
      </w:r>
      <w:r>
        <w:rPr>
          <w:rFonts w:ascii="Arial" w:hAnsi="Arial"/>
          <w:b/>
          <w:lang w:eastAsia="ja-JP"/>
        </w:rPr>
        <w:t>1</w:t>
      </w:r>
      <w:r>
        <w:rPr>
          <w:rFonts w:ascii="Arial" w:hAnsi="Arial" w:hint="eastAsia"/>
          <w:b/>
        </w:rPr>
        <w:t>8</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22</w:t>
      </w:r>
      <w:r w:rsidR="00BE7A36">
        <w:rPr>
          <w:rFonts w:ascii="Arial" w:hAnsi="Arial" w:hint="eastAsia"/>
          <w:b/>
          <w:vertAlign w:val="superscript"/>
        </w:rPr>
        <w:t>nd</w:t>
      </w:r>
      <w:r>
        <w:rPr>
          <w:rFonts w:ascii="Arial" w:hAnsi="Arial"/>
          <w:b/>
        </w:rPr>
        <w:t xml:space="preserve"> </w:t>
      </w:r>
      <w:r>
        <w:rPr>
          <w:rFonts w:ascii="Arial" w:hAnsi="Arial" w:hint="eastAsia"/>
          <w:b/>
        </w:rPr>
        <w:t>Nov</w:t>
      </w:r>
      <w:r>
        <w:rPr>
          <w:rFonts w:ascii="Arial" w:hAnsi="Arial" w:hint="eastAsia"/>
          <w:b/>
          <w:lang w:eastAsia="ja-JP"/>
        </w:rPr>
        <w:t>, 201</w:t>
      </w:r>
      <w:r>
        <w:rPr>
          <w:rFonts w:ascii="Arial" w:hAnsi="Arial"/>
          <w:b/>
          <w:lang w:eastAsia="ja-JP"/>
        </w:rPr>
        <w:t>9</w:t>
      </w:r>
    </w:p>
    <w:p w14:paraId="7B636C98" w14:textId="77777777" w:rsidR="00303681" w:rsidRDefault="00BC1AE1">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3049F51C" w14:textId="77777777"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14:paraId="204D109C" w14:textId="77777777"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14:paraId="4782F78E" w14:textId="77777777" w:rsidR="00303681" w:rsidRDefault="00BC1AE1">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065FD5FC" w14:textId="77777777" w:rsidR="00303681" w:rsidRDefault="00303681">
      <w:pPr>
        <w:pStyle w:val="Header"/>
        <w:tabs>
          <w:tab w:val="clear" w:pos="4536"/>
        </w:tabs>
        <w:snapToGrid w:val="0"/>
        <w:rPr>
          <w:rFonts w:eastAsia="宋体"/>
          <w:szCs w:val="20"/>
          <w:lang w:eastAsia="zh-CN"/>
        </w:rPr>
      </w:pPr>
    </w:p>
    <w:p w14:paraId="25A0DE65" w14:textId="77777777" w:rsidR="00303681" w:rsidRDefault="00303681">
      <w:pPr>
        <w:pBdr>
          <w:bottom w:val="single" w:sz="4" w:space="1" w:color="auto"/>
        </w:pBdr>
        <w:tabs>
          <w:tab w:val="left" w:pos="2552"/>
        </w:tabs>
        <w:snapToGrid w:val="0"/>
        <w:spacing w:line="240" w:lineRule="auto"/>
        <w:rPr>
          <w:sz w:val="4"/>
          <w:szCs w:val="4"/>
        </w:rPr>
      </w:pPr>
    </w:p>
    <w:p w14:paraId="278084DC"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Introduction</w:t>
      </w:r>
      <w:bookmarkStart w:id="2" w:name="_GoBack"/>
      <w:bookmarkEnd w:id="2"/>
    </w:p>
    <w:p w14:paraId="0875C04B" w14:textId="77777777" w:rsidR="00303681" w:rsidRDefault="00BC1AE1">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#98</w:t>
      </w:r>
      <w:r>
        <w:rPr>
          <w:rFonts w:eastAsia="微软雅黑" w:hint="eastAsia"/>
          <w:sz w:val="20"/>
          <w:szCs w:val="20"/>
          <w:lang w:val="en-GB"/>
        </w:rPr>
        <w:t>bis</w:t>
      </w:r>
      <w:r>
        <w:rPr>
          <w:rFonts w:eastAsia="微软雅黑"/>
          <w:sz w:val="20"/>
          <w:szCs w:val="20"/>
          <w:lang w:val="en-GB"/>
        </w:rPr>
        <w:t>, the following agreements</w:t>
      </w:r>
      <w:r>
        <w:rPr>
          <w:rFonts w:eastAsia="微软雅黑" w:hint="eastAsia"/>
          <w:sz w:val="20"/>
          <w:szCs w:val="20"/>
        </w:rPr>
        <w:t xml:space="preserve"> and conclusions</w:t>
      </w:r>
      <w:r>
        <w:rPr>
          <w:rFonts w:eastAsia="微软雅黑"/>
          <w:sz w:val="20"/>
          <w:szCs w:val="20"/>
          <w:lang w:val="en-GB"/>
        </w:rPr>
        <w:t xml:space="preserve"> have been made on the DFT based Type II compression CSI enhancements for MU-MIMO [1].</w:t>
      </w:r>
    </w:p>
    <w:p w14:paraId="285EC4F4" w14:textId="77777777" w:rsidR="00303681" w:rsidRDefault="00BC1AE1">
      <w:pPr>
        <w:adjustRightInd w:val="0"/>
        <w:snapToGrid w:val="0"/>
        <w:spacing w:after="0" w:line="240" w:lineRule="auto"/>
        <w:rPr>
          <w:b/>
          <w:bCs/>
          <w:sz w:val="20"/>
          <w:szCs w:val="20"/>
        </w:rPr>
      </w:pPr>
      <w:r>
        <w:rPr>
          <w:b/>
          <w:bCs/>
          <w:sz w:val="20"/>
          <w:szCs w:val="20"/>
        </w:rPr>
        <w:t>Agreement</w:t>
      </w:r>
    </w:p>
    <w:p w14:paraId="56B697F6" w14:textId="77777777" w:rsidR="00303681" w:rsidRDefault="00BC1AE1">
      <w:pPr>
        <w:pStyle w:val="0Maintext"/>
        <w:adjustRightInd w:val="0"/>
        <w:snapToGrid w:val="0"/>
        <w:spacing w:after="0" w:afterAutospacing="0" w:line="240" w:lineRule="auto"/>
        <w:ind w:firstLine="0"/>
        <w:rPr>
          <w:rFonts w:cs="Times New Roman"/>
          <w:iCs/>
          <w:lang w:val="en-US"/>
        </w:rPr>
      </w:pPr>
      <w:r>
        <w:rPr>
          <w:rFonts w:cs="Times New Roman"/>
          <w:iCs/>
          <w:lang w:val="en-US"/>
        </w:rPr>
        <w:t xml:space="preserve">On further details for CSI reporting pertaining to the Rel.16 Type II codebook: </w:t>
      </w:r>
    </w:p>
    <w:p w14:paraId="35F0919C" w14:textId="77777777" w:rsidR="00303681" w:rsidRDefault="00BC1AE1">
      <w:pPr>
        <w:pStyle w:val="0Maintext"/>
        <w:numPr>
          <w:ilvl w:val="0"/>
          <w:numId w:val="5"/>
        </w:numPr>
        <w:adjustRightInd w:val="0"/>
        <w:snapToGrid w:val="0"/>
        <w:spacing w:after="0" w:afterAutospacing="0" w:line="240" w:lineRule="auto"/>
        <w:rPr>
          <w:rFonts w:cs="Times New Roman"/>
          <w:iCs/>
          <w:lang w:val="en-US"/>
        </w:rPr>
      </w:pPr>
      <w:r>
        <w:rPr>
          <w:rFonts w:eastAsia="宋体" w:cs="Times New Roman"/>
          <w:iCs/>
          <w:lang w:val="en-US" w:eastAsia="zh-CN"/>
        </w:rPr>
        <w:t>SP CSI reporting of Part-1-only CSI on PUCCH format 3 and 4 is not supported</w:t>
      </w:r>
    </w:p>
    <w:p w14:paraId="690ECDF5" w14:textId="77777777" w:rsidR="00303681" w:rsidRDefault="00BC1AE1">
      <w:pPr>
        <w:pStyle w:val="Style10"/>
        <w:adjustRightInd w:val="0"/>
        <w:snapToGrid w:val="0"/>
        <w:spacing w:after="0" w:line="240" w:lineRule="auto"/>
        <w:ind w:firstLine="0"/>
        <w:rPr>
          <w:rFonts w:cs="Times New Roman"/>
          <w:lang w:eastAsia="ko-KR"/>
        </w:rPr>
      </w:pPr>
      <w:r>
        <w:rPr>
          <w:rFonts w:cs="Times New Roman"/>
          <w:b/>
          <w:lang w:eastAsia="ko-KR"/>
        </w:rPr>
        <w:t>Agreement</w:t>
      </w:r>
    </w:p>
    <w:p w14:paraId="78002A5C" w14:textId="77777777" w:rsidR="00303681" w:rsidRDefault="00BC1AE1">
      <w:pPr>
        <w:pStyle w:val="Style10"/>
        <w:adjustRightInd w:val="0"/>
        <w:snapToGrid w:val="0"/>
        <w:spacing w:after="0" w:line="240" w:lineRule="auto"/>
        <w:ind w:firstLine="0"/>
        <w:rPr>
          <w:rFonts w:cs="Times New Roman"/>
          <w:lang w:eastAsia="ko-KR"/>
        </w:rPr>
      </w:pPr>
      <w:r>
        <w:rPr>
          <w:rFonts w:cs="Times New Roman"/>
          <w:lang w:eastAsia="ko-KR"/>
        </w:rPr>
        <w:t xml:space="preserve">On UE capability issues: </w:t>
      </w:r>
    </w:p>
    <w:p w14:paraId="3965FD04" w14:textId="77777777" w:rsidR="00303681" w:rsidRDefault="00BC1AE1">
      <w:pPr>
        <w:pStyle w:val="Style10"/>
        <w:numPr>
          <w:ilvl w:val="0"/>
          <w:numId w:val="6"/>
        </w:numPr>
        <w:adjustRightInd w:val="0"/>
        <w:snapToGrid w:val="0"/>
        <w:spacing w:after="0" w:line="240" w:lineRule="auto"/>
        <w:rPr>
          <w:rFonts w:cs="Times New Roman"/>
        </w:rPr>
      </w:pPr>
      <w:r>
        <w:rPr>
          <w:rFonts w:cs="Times New Roman"/>
        </w:rPr>
        <w:t>For a UE capable of Rel.16 Type II codebook, agree on the following:</w:t>
      </w:r>
    </w:p>
    <w:p w14:paraId="18A84405" w14:textId="77777777" w:rsidR="00303681" w:rsidRDefault="00BC1AE1">
      <w:pPr>
        <w:pStyle w:val="Style10"/>
        <w:numPr>
          <w:ilvl w:val="1"/>
          <w:numId w:val="6"/>
        </w:numPr>
        <w:adjustRightInd w:val="0"/>
        <w:snapToGrid w:val="0"/>
        <w:spacing w:after="0" w:line="240" w:lineRule="auto"/>
        <w:rPr>
          <w:rFonts w:cs="Times New Roman"/>
        </w:rPr>
      </w:pPr>
      <w:r>
        <w:rPr>
          <w:rFonts w:cs="Times New Roman"/>
        </w:rPr>
        <w:t xml:space="preserve">Mandatory support for L=2, 4 </w:t>
      </w:r>
    </w:p>
    <w:p w14:paraId="0A4624D3" w14:textId="77777777" w:rsidR="00303681" w:rsidRDefault="00BC1AE1">
      <w:pPr>
        <w:pStyle w:val="Style10"/>
        <w:numPr>
          <w:ilvl w:val="2"/>
          <w:numId w:val="6"/>
        </w:numPr>
        <w:adjustRightInd w:val="0"/>
        <w:snapToGrid w:val="0"/>
        <w:spacing w:after="0" w:line="240" w:lineRule="auto"/>
        <w:rPr>
          <w:rFonts w:cs="Times New Roman"/>
        </w:rPr>
      </w:pPr>
      <w:r>
        <w:rPr>
          <w:rFonts w:cs="Times New Roman"/>
        </w:rPr>
        <w:t xml:space="preserve">Supported without additional UE capability </w:t>
      </w:r>
      <w:proofErr w:type="spellStart"/>
      <w:r>
        <w:rPr>
          <w:rFonts w:cs="Times New Roman"/>
        </w:rPr>
        <w:t>signaling</w:t>
      </w:r>
      <w:proofErr w:type="spellEnd"/>
    </w:p>
    <w:p w14:paraId="3FFF5E30" w14:textId="77777777" w:rsidR="00303681" w:rsidRDefault="00BC1AE1">
      <w:pPr>
        <w:pStyle w:val="Style10"/>
        <w:numPr>
          <w:ilvl w:val="1"/>
          <w:numId w:val="6"/>
        </w:numPr>
        <w:adjustRightInd w:val="0"/>
        <w:snapToGrid w:val="0"/>
        <w:spacing w:after="0" w:line="240" w:lineRule="auto"/>
        <w:rPr>
          <w:rFonts w:cs="Times New Roman"/>
        </w:rPr>
      </w:pPr>
      <w:r>
        <w:rPr>
          <w:rFonts w:cs="Times New Roman"/>
        </w:rPr>
        <w:t>Mandatory support for maximum rank of 1 and 2</w:t>
      </w:r>
    </w:p>
    <w:p w14:paraId="42CD1F5E" w14:textId="77777777" w:rsidR="00303681" w:rsidRDefault="00BC1AE1">
      <w:pPr>
        <w:pStyle w:val="Style10"/>
        <w:numPr>
          <w:ilvl w:val="2"/>
          <w:numId w:val="6"/>
        </w:numPr>
        <w:adjustRightInd w:val="0"/>
        <w:snapToGrid w:val="0"/>
        <w:spacing w:after="0" w:line="240" w:lineRule="auto"/>
        <w:rPr>
          <w:rFonts w:cs="Times New Roman"/>
        </w:rPr>
      </w:pPr>
      <w:r>
        <w:rPr>
          <w:rFonts w:cs="Times New Roman"/>
        </w:rPr>
        <w:t xml:space="preserve">FFS </w:t>
      </w:r>
      <w:bookmarkStart w:id="3" w:name="OLE_LINK3"/>
      <w:r>
        <w:rPr>
          <w:rFonts w:cs="Times New Roman"/>
        </w:rPr>
        <w:t xml:space="preserve">whether </w:t>
      </w:r>
      <w:bookmarkStart w:id="4" w:name="OLE_LINK4"/>
      <w:r>
        <w:rPr>
          <w:rFonts w:cs="Times New Roman"/>
        </w:rPr>
        <w:t xml:space="preserve">the support for maximum rank 3 and 4 is mandatory </w:t>
      </w:r>
      <w:bookmarkEnd w:id="4"/>
      <w:r>
        <w:rPr>
          <w:rFonts w:cs="Times New Roman"/>
        </w:rPr>
        <w:t>or not</w:t>
      </w:r>
      <w:bookmarkEnd w:id="3"/>
      <w:r>
        <w:rPr>
          <w:rFonts w:cs="Times New Roman"/>
        </w:rPr>
        <w:t xml:space="preserve"> </w:t>
      </w:r>
    </w:p>
    <w:p w14:paraId="5239415F" w14:textId="77777777" w:rsidR="00303681" w:rsidRDefault="00BC1AE1">
      <w:pPr>
        <w:pStyle w:val="Style10"/>
        <w:numPr>
          <w:ilvl w:val="2"/>
          <w:numId w:val="6"/>
        </w:numPr>
        <w:adjustRightInd w:val="0"/>
        <w:snapToGrid w:val="0"/>
        <w:spacing w:after="0" w:line="240" w:lineRule="auto"/>
        <w:rPr>
          <w:rFonts w:cs="Times New Roman"/>
        </w:rPr>
      </w:pPr>
      <w:r>
        <w:rPr>
          <w:rFonts w:cs="Times New Roman"/>
        </w:rPr>
        <w:t xml:space="preserve">Supported without additional UE capability </w:t>
      </w:r>
      <w:proofErr w:type="spellStart"/>
      <w:r>
        <w:rPr>
          <w:rFonts w:cs="Times New Roman"/>
        </w:rPr>
        <w:t>signaling</w:t>
      </w:r>
      <w:proofErr w:type="spellEnd"/>
    </w:p>
    <w:p w14:paraId="798DCCC0" w14:textId="77777777" w:rsidR="00303681" w:rsidRDefault="00BC1AE1">
      <w:pPr>
        <w:pStyle w:val="Style10"/>
        <w:numPr>
          <w:ilvl w:val="1"/>
          <w:numId w:val="6"/>
        </w:numPr>
        <w:adjustRightInd w:val="0"/>
        <w:snapToGrid w:val="0"/>
        <w:spacing w:after="0" w:line="240" w:lineRule="auto"/>
        <w:rPr>
          <w:rFonts w:cs="Times New Roman"/>
        </w:rPr>
      </w:pPr>
      <w:r>
        <w:rPr>
          <w:rFonts w:cs="Times New Roman"/>
        </w:rPr>
        <w:t>Separate UE capabilities for the “regular” Rel.16 Type II and Rel.16 Type II port selection codebooks</w:t>
      </w:r>
    </w:p>
    <w:p w14:paraId="4FF4C986" w14:textId="77777777" w:rsidR="00303681" w:rsidRDefault="00BC1AE1">
      <w:pPr>
        <w:pStyle w:val="Style10"/>
        <w:numPr>
          <w:ilvl w:val="0"/>
          <w:numId w:val="6"/>
        </w:numPr>
        <w:adjustRightInd w:val="0"/>
        <w:snapToGrid w:val="0"/>
        <w:spacing w:after="0" w:line="240" w:lineRule="auto"/>
        <w:rPr>
          <w:rFonts w:cs="Times New Roman"/>
        </w:rPr>
      </w:pPr>
      <w:r>
        <w:rPr>
          <w:rFonts w:cs="Times New Roman"/>
        </w:rPr>
        <w:t>Note: for discussion purposes:</w:t>
      </w:r>
    </w:p>
    <w:p w14:paraId="7CE4098B" w14:textId="77777777" w:rsidR="00303681" w:rsidRDefault="00BC1AE1">
      <w:pPr>
        <w:pStyle w:val="Style10"/>
        <w:numPr>
          <w:ilvl w:val="1"/>
          <w:numId w:val="6"/>
        </w:numPr>
        <w:adjustRightInd w:val="0"/>
        <w:snapToGrid w:val="0"/>
        <w:spacing w:after="0" w:line="240" w:lineRule="auto"/>
        <w:rPr>
          <w:rFonts w:cs="Times New Roman"/>
        </w:rPr>
      </w:pPr>
      <w:r>
        <w:rPr>
          <w:rFonts w:cs="Times New Roman"/>
        </w:rPr>
        <w:t>“Mandatory” implies that the (sub-</w:t>
      </w:r>
      <w:proofErr w:type="gramStart"/>
      <w:r>
        <w:rPr>
          <w:rFonts w:cs="Times New Roman"/>
        </w:rPr>
        <w:t>)feature</w:t>
      </w:r>
      <w:proofErr w:type="gramEnd"/>
      <w:r>
        <w:rPr>
          <w:rFonts w:cs="Times New Roman"/>
        </w:rPr>
        <w:t xml:space="preserve"> is always supported when the UE is capable of Rel.16 Type II codebook. In other words, this feature is considered basic. Rel.16 Type II codebook is a UE optional feature.</w:t>
      </w:r>
    </w:p>
    <w:p w14:paraId="534F20F7" w14:textId="77777777" w:rsidR="00303681" w:rsidRDefault="00BC1AE1">
      <w:pPr>
        <w:pStyle w:val="Style10"/>
        <w:numPr>
          <w:ilvl w:val="1"/>
          <w:numId w:val="6"/>
        </w:numPr>
        <w:adjustRightInd w:val="0"/>
        <w:snapToGrid w:val="0"/>
        <w:spacing w:after="0" w:line="240" w:lineRule="auto"/>
        <w:rPr>
          <w:rFonts w:cs="Times New Roman"/>
        </w:rPr>
      </w:pPr>
      <w:r>
        <w:rPr>
          <w:rFonts w:cs="Times New Roman"/>
        </w:rPr>
        <w:t>“Optional” implies that a separate UE (sub-</w:t>
      </w:r>
      <w:proofErr w:type="gramStart"/>
      <w:r>
        <w:rPr>
          <w:rFonts w:cs="Times New Roman"/>
        </w:rPr>
        <w:t>)capability</w:t>
      </w:r>
      <w:proofErr w:type="gramEnd"/>
      <w:r>
        <w:rPr>
          <w:rFonts w:cs="Times New Roman"/>
        </w:rPr>
        <w:t xml:space="preserve"> is needed (hence not necessarily supported) even when the UE is capable of Rel.16 Type II codebook. In other words, this feature is considered advanced.   </w:t>
      </w:r>
    </w:p>
    <w:p w14:paraId="1DB08D28" w14:textId="77777777" w:rsidR="00303681" w:rsidRDefault="00BC1AE1">
      <w:pPr>
        <w:adjustRightInd w:val="0"/>
        <w:snapToGrid w:val="0"/>
        <w:spacing w:after="0" w:line="240" w:lineRule="auto"/>
        <w:rPr>
          <w:sz w:val="20"/>
          <w:szCs w:val="20"/>
        </w:rPr>
      </w:pPr>
      <w:r>
        <w:rPr>
          <w:b/>
          <w:sz w:val="20"/>
          <w:szCs w:val="20"/>
        </w:rPr>
        <w:t>Agreement</w:t>
      </w:r>
    </w:p>
    <w:p w14:paraId="192400D0" w14:textId="77777777" w:rsidR="00303681" w:rsidRDefault="00BC1AE1">
      <w:pPr>
        <w:adjustRightInd w:val="0"/>
        <w:snapToGrid w:val="0"/>
        <w:spacing w:after="0" w:line="240" w:lineRule="auto"/>
        <w:rPr>
          <w:sz w:val="20"/>
          <w:szCs w:val="20"/>
        </w:rPr>
      </w:pPr>
      <w:r>
        <w:rPr>
          <w:sz w:val="20"/>
          <w:szCs w:val="20"/>
        </w:rPr>
        <w:t xml:space="preserve">On CBSR for Rel.16 Type II codebook, support beam-group-based restriction analogous to Rel.15 Type II codebook. </w:t>
      </w:r>
    </w:p>
    <w:p w14:paraId="153FF7C4" w14:textId="77777777" w:rsidR="00303681" w:rsidRDefault="00BC1AE1">
      <w:pPr>
        <w:pStyle w:val="Style10"/>
        <w:adjustRightInd w:val="0"/>
        <w:snapToGrid w:val="0"/>
        <w:spacing w:after="0" w:line="240" w:lineRule="auto"/>
        <w:ind w:firstLine="0"/>
        <w:rPr>
          <w:rFonts w:cs="Times New Roman"/>
          <w:lang w:eastAsia="ko-KR"/>
        </w:rPr>
      </w:pPr>
      <w:r>
        <w:rPr>
          <w:rFonts w:cs="Times New Roman"/>
          <w:b/>
          <w:lang w:eastAsia="ko-KR"/>
        </w:rPr>
        <w:t>Agreement</w:t>
      </w:r>
    </w:p>
    <w:p w14:paraId="5210E9A0" w14:textId="77777777" w:rsidR="00303681" w:rsidRDefault="00BC1AE1">
      <w:pPr>
        <w:pStyle w:val="Style10"/>
        <w:adjustRightInd w:val="0"/>
        <w:snapToGrid w:val="0"/>
        <w:spacing w:after="0" w:line="240" w:lineRule="auto"/>
        <w:ind w:firstLine="0"/>
        <w:rPr>
          <w:rFonts w:cs="Times New Roman"/>
          <w:lang w:eastAsia="ko-KR"/>
        </w:rPr>
      </w:pPr>
      <w:r>
        <w:rPr>
          <w:rFonts w:cs="Times New Roman"/>
          <w:lang w:eastAsia="ko-KR"/>
        </w:rPr>
        <w:t>On Rel.16 extension for Type II port selection codebook to rank-3 and 4, support extension with simple reuse of Rel.15 W1 matrix (i.e. layer-common W1).</w:t>
      </w:r>
    </w:p>
    <w:p w14:paraId="6DDF8DA4" w14:textId="77777777" w:rsidR="00303681" w:rsidRDefault="00BC1AE1">
      <w:pPr>
        <w:adjustRightInd w:val="0"/>
        <w:snapToGrid w:val="0"/>
        <w:spacing w:after="0" w:line="240" w:lineRule="auto"/>
        <w:rPr>
          <w:b/>
          <w:sz w:val="20"/>
          <w:szCs w:val="20"/>
        </w:rPr>
      </w:pPr>
      <w:r>
        <w:rPr>
          <w:b/>
          <w:sz w:val="20"/>
          <w:szCs w:val="20"/>
        </w:rPr>
        <w:t>Agreement</w:t>
      </w:r>
    </w:p>
    <w:p w14:paraId="3449C9B6" w14:textId="77777777" w:rsidR="00303681" w:rsidRDefault="00BC1AE1">
      <w:pPr>
        <w:adjustRightInd w:val="0"/>
        <w:snapToGrid w:val="0"/>
        <w:spacing w:after="0" w:line="240" w:lineRule="auto"/>
        <w:rPr>
          <w:sz w:val="20"/>
          <w:szCs w:val="20"/>
        </w:rPr>
      </w:pPr>
      <w:r>
        <w:rPr>
          <w:sz w:val="20"/>
          <w:szCs w:val="20"/>
        </w:rPr>
        <w:t>For amplitude restriction mechanism:</w:t>
      </w:r>
    </w:p>
    <w:p w14:paraId="0DCC0BC9" w14:textId="77777777" w:rsidR="00303681" w:rsidRDefault="00BC1AE1">
      <w:pPr>
        <w:pStyle w:val="ListParagraph"/>
        <w:numPr>
          <w:ilvl w:val="0"/>
          <w:numId w:val="7"/>
        </w:numPr>
        <w:adjustRightInd w:val="0"/>
        <w:snapToGrid w:val="0"/>
        <w:spacing w:after="0" w:line="240" w:lineRule="auto"/>
        <w:ind w:firstLine="400"/>
        <w:rPr>
          <w:sz w:val="20"/>
          <w:szCs w:val="20"/>
        </w:rPr>
      </w:pPr>
      <w:r>
        <w:rPr>
          <w:sz w:val="20"/>
          <w:szCs w:val="20"/>
        </w:rPr>
        <w:t xml:space="preserve">Alt 0. </w:t>
      </w:r>
      <w:r>
        <w:rPr>
          <w:sz w:val="20"/>
          <w:szCs w:val="20"/>
          <w:lang w:eastAsia="ko-KR"/>
        </w:rPr>
        <w:t xml:space="preserve">Analogous to Rel.15 Type II </w:t>
      </w:r>
      <w:r>
        <w:rPr>
          <w:sz w:val="20"/>
          <w:szCs w:val="20"/>
        </w:rPr>
        <w:t>(SD beam group restriction + per coefficient hard amplitude restriction)</w:t>
      </w:r>
    </w:p>
    <w:p w14:paraId="67ECC821" w14:textId="77777777" w:rsidR="00303681" w:rsidRDefault="00BC1AE1">
      <w:pPr>
        <w:pStyle w:val="ListParagraph"/>
        <w:numPr>
          <w:ilvl w:val="1"/>
          <w:numId w:val="7"/>
        </w:numPr>
        <w:adjustRightInd w:val="0"/>
        <w:snapToGrid w:val="0"/>
        <w:spacing w:after="0" w:line="240" w:lineRule="auto"/>
        <w:ind w:firstLine="400"/>
        <w:rPr>
          <w:sz w:val="20"/>
          <w:szCs w:val="20"/>
        </w:rPr>
      </w:pPr>
      <w:r>
        <w:rPr>
          <w:sz w:val="20"/>
          <w:szCs w:val="20"/>
        </w:rPr>
        <w:t xml:space="preserve">Four beam groups are selected via higher-layer configured bitmap </w:t>
      </w:r>
      <w:r>
        <w:rPr>
          <w:i/>
          <w:sz w:val="20"/>
          <w:szCs w:val="20"/>
        </w:rPr>
        <w:t>B</w:t>
      </w:r>
      <w:r>
        <w:rPr>
          <w:sz w:val="20"/>
          <w:szCs w:val="20"/>
          <w:vertAlign w:val="subscript"/>
        </w:rPr>
        <w:t>1</w:t>
      </w:r>
    </w:p>
    <w:p w14:paraId="01C676FA" w14:textId="77777777" w:rsidR="00303681" w:rsidRDefault="00BC1AE1">
      <w:pPr>
        <w:pStyle w:val="ListParagraph"/>
        <w:numPr>
          <w:ilvl w:val="1"/>
          <w:numId w:val="7"/>
        </w:numPr>
        <w:adjustRightInd w:val="0"/>
        <w:snapToGrid w:val="0"/>
        <w:spacing w:after="0" w:line="240" w:lineRule="auto"/>
        <w:ind w:firstLine="400"/>
        <w:rPr>
          <w:sz w:val="20"/>
          <w:szCs w:val="20"/>
        </w:rPr>
      </w:pPr>
      <w:r>
        <w:rPr>
          <w:sz w:val="20"/>
          <w:szCs w:val="20"/>
        </w:rPr>
        <w:t xml:space="preserve">For each spatial beam in each of the four beam groups, </w:t>
      </w:r>
      <w:r>
        <w:rPr>
          <w:i/>
          <w:sz w:val="20"/>
          <w:szCs w:val="20"/>
        </w:rPr>
        <w:t>hard restriction (maximum amplitude of 0 or 1)</w:t>
      </w:r>
      <w:r>
        <w:rPr>
          <w:sz w:val="20"/>
          <w:szCs w:val="20"/>
        </w:rPr>
        <w:t xml:space="preserve"> </w:t>
      </w:r>
      <w:r>
        <w:rPr>
          <w:sz w:val="20"/>
          <w:szCs w:val="20"/>
          <w:lang w:eastAsia="ko-KR"/>
        </w:rPr>
        <w:t xml:space="preserve">is applied to any of the </w:t>
      </w:r>
      <w:r>
        <w:rPr>
          <w:position w:val="-12"/>
          <w:sz w:val="20"/>
          <w:szCs w:val="20"/>
        </w:rPr>
        <w:object w:dxaOrig="328" w:dyaOrig="328" w14:anchorId="69C94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6.55pt" o:ole="">
            <v:imagedata r:id="rId7" o:title=""/>
          </v:shape>
          <o:OLEObject Type="Embed" ProgID="Equation.DSMT4" ShapeID="_x0000_i1025" DrawAspect="Content" ObjectID="_1634801167" r:id="rId8"/>
        </w:object>
      </w:r>
      <w:r>
        <w:rPr>
          <w:sz w:val="20"/>
          <w:szCs w:val="20"/>
          <w:lang w:eastAsia="ko-KR"/>
        </w:rPr>
        <w:t xml:space="preserve">coefficients associated with the beam (the restriction is applied for both polarizations of the beam). This maximum amplitude restriction is higher-layer configured with four bitmaps </w:t>
      </w:r>
      <w:r>
        <w:rPr>
          <w:position w:val="-16"/>
          <w:sz w:val="20"/>
          <w:szCs w:val="20"/>
        </w:rPr>
        <w:object w:dxaOrig="1654" w:dyaOrig="328" w14:anchorId="6952E276">
          <v:shape id="_x0000_i1026" type="#_x0000_t75" style="width:82.8pt;height:16.55pt" o:ole="">
            <v:imagedata r:id="rId9" o:title=""/>
          </v:shape>
          <o:OLEObject Type="Embed" ProgID="Equation.DSMT4" ShapeID="_x0000_i1026" DrawAspect="Content" ObjectID="_1634801168" r:id="rId10"/>
        </w:object>
      </w:r>
      <w:r>
        <w:rPr>
          <w:sz w:val="20"/>
          <w:szCs w:val="20"/>
          <w:lang w:eastAsia="ko-KR"/>
        </w:rPr>
        <w:t xml:space="preserve"> </w:t>
      </w:r>
    </w:p>
    <w:p w14:paraId="35CF1842" w14:textId="77777777" w:rsidR="00303681" w:rsidRDefault="00BC1AE1">
      <w:pPr>
        <w:pStyle w:val="ListParagraph"/>
        <w:numPr>
          <w:ilvl w:val="0"/>
          <w:numId w:val="8"/>
        </w:numPr>
        <w:adjustRightInd w:val="0"/>
        <w:snapToGrid w:val="0"/>
        <w:spacing w:after="0" w:line="240" w:lineRule="auto"/>
        <w:ind w:firstLine="400"/>
        <w:rPr>
          <w:sz w:val="20"/>
          <w:szCs w:val="20"/>
        </w:rPr>
      </w:pPr>
      <w:r>
        <w:rPr>
          <w:sz w:val="20"/>
          <w:szCs w:val="20"/>
        </w:rPr>
        <w:t xml:space="preserve">Alt 3A from RAN1#98 (soft with sum-power-ratio constraint), simplified to </w:t>
      </w:r>
      <w:r>
        <w:rPr>
          <w:position w:val="-32"/>
          <w:sz w:val="20"/>
          <w:szCs w:val="20"/>
        </w:rPr>
        <w:object w:dxaOrig="3878" w:dyaOrig="699" w14:anchorId="2BC6CA0C">
          <v:shape id="_x0000_i1027" type="#_x0000_t75" style="width:194.05pt;height:35.05pt" o:ole="">
            <v:imagedata r:id="rId11" o:title=""/>
          </v:shape>
          <o:OLEObject Type="Embed" ProgID="Equation.DSMT4" ShapeID="_x0000_i1027" DrawAspect="Content" ObjectID="_1634801169" r:id="rId12"/>
        </w:object>
      </w:r>
      <w:r>
        <w:rPr>
          <w:sz w:val="20"/>
          <w:szCs w:val="20"/>
        </w:rPr>
        <w:fldChar w:fldCharType="begin"/>
      </w:r>
      <w:r>
        <w:rPr>
          <w:sz w:val="20"/>
          <w:szCs w:val="20"/>
        </w:rPr>
        <w:instrText xml:space="preserve"> QUOTE </w:instrText>
      </w:r>
      <w:r w:rsidR="00BE7A36">
        <w:rPr>
          <w:position w:val="-14"/>
          <w:sz w:val="20"/>
          <w:szCs w:val="20"/>
        </w:rPr>
        <w:pict w14:anchorId="0441E789">
          <v:shape id="_x0000_i1028" type="#_x0000_t75" style="width:148.6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1D1&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41D1&quot; wsp:rsidP=&quot;00FA41D1&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NZ&lt;/m:t&gt;&lt;/m:r&gt;&lt;/m:sub&gt;&lt;/m:sSub&gt;&lt;m:r&gt;&lt;w:rPr&gt;&lt;w:rFonts w:ascii=&quot;Cambria Math&quot; w:h-ansi=&quot;Cambria Math&quot;/&gt;&lt;wx:font wx:val=&quot;Cambria Math&quot;/&gt;&lt;w:i/&gt;&lt;/w:rPr&gt;&lt;m:t&gt;(λ,k,&lt;/m:t&gt;&lt;/m:r&gt;&lt;m:sSub&gt;&lt;m:sS--------ubn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den&gt;&lt;/m:f&gt;&lt;m:r&gt;&lt;w:rPr&gt;&lt;w:rFonts w:ascii=&quot;Cambria Math&quot; w:h-ansi=&quot;Cambria Math&quot;/&gt;&lt;wx:font wx:val=&quot;Cambria Math&quot;/&gt;&lt;w:i/&gt;&lt;/w:rPr&gt;&lt;m:t&gt;×&lt;/m:t&gt;&lt;/m:r&gt;&lt;m=:&quot;nCaarmyb&gt;r&lt;im:nMaryPr&gt;&lt;m:chr m:val=&quot;∑&quot;/&gt;&lt;m:limLoc m:val=&quot;undOvr&quot;/&gt;&lt;m:ctrlPr&gt;&lt;w:rPr&gt;&lt;w:rFonts w:ascii=&quot;Cambria Math&quot; w:h-ansi=&quot;Cambria Math&quot;/&gt;&lt;wx:font wx:val=&quot;Cambria Math&quot;/&gt;&lt;w:sz w:val=&quot;18&quot;/&gt;&lt;w:sz-cs w:val=&quot;18&quot;/&gt;&lt;/w:rPr&gt;&lt;/m:ctrlPr&gt;&lt;/m:naryPr&gt;&lt;m:sub&gt;&lt;m:=r&gt;&quot;&lt;wC:raPrm&gt;&lt;bw:rrFiontsM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0&lt;/m:t&gt;&lt;/m:r&gt;&lt;/m:sub&gt;&lt;m:sup&gt;&lt;m:r&gt;&lt;w:rPr&gt;&lt;w:rFonts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1&lt;/m:t&gt;&lt;/m:r&gt;&lt;/m:sup&gt;&lt;m:e&gt;&lt;m:sSubSup&gt;&lt;m:sSubSupPr&gt;&lt;m:ctrlPr&gt;&lt;w:rPr&gt;&lt;w:rFonts w:ascii=&quot;Cambria Math&quot; w:h-ansi=&quot;Cambria Math&quot;/&gt;&lt;wx:font wx:val=&quot;Cambria Math&quot;/&gt;&lt;w:sz w:val=&quot;18&quot;/&gt;&lt;w:sz-cs w:val=&quot;18&quot;/&gt;&lt;/w:rPr&gt;&lt;/m:ctrlPr&gt;&lt;/m:sSubSupPr&gt;&lt;m:e&gt;&lt;m:r&gt;&lt;w:rPr&gt;&lt;w:rFonts w:ascii=&quot;Cambria Math&quot; w:h-ansi=&quot;Cambria Math&quot;/&gt;&lt;wx:font wx:val=&quot;Cambria Math&quot;/&gt;&lt;w:i/&gt;&lt;w:sz w:val=&quot;18&quot;/&gt;&lt;w:sz-cs w:val=&quot;18&quot;/&gt;&lt;/w:rPr&gt;&lt;m:t&gt;p&lt;/m:t&gt;&lt;/m:r&gt;&lt;/m:e&gt;&lt;m:sub&gt;&lt;m:r&gt;&lt;w:rPr&gt;&lt;w:rFonts w:ascii=&quot;Cambria Math&quot; w:h-ansi=&quot;Cambria Math&quot;/&gt;&lt;wx:font wx:val=&quot;Cambria Math&quot;/&gt;&lt;w:i/&gt;&lt;w:sz w:val=&quot;18&quot;/&gt;&lt;w:sz-cs w:val=&quot;18&quot;/&gt;&lt;/w:rPr&gt;&lt;m:t&gt;res&lt;/m:t&gt;&lt;/m:r&gt;&lt;m:r&gt;&lt;m:rPr&gt;&lt;m:sty m:val=&quot;p&quot;/&gt;&lt;/m:rPr&gt;&lt;w:rPr&gt;&lt;w:rFonts w:ascii=&quot;Cambria Math&quot; w:h-ansi=&quot;Cambria Math&quot;/&gt;&lt;wx:font wx:val=&quot;Cambria Math&quot;/&gt;&lt;w:sz w:val=&quot;18&quot;/&gt;&lt;w:sz-cs w:val=&quot;18&quot;/&gt;&lt;/w:rPr&gt;&lt;m:t&gt;,&lt;/m:t&gt;&lt;/m:r&gt;&lt;m:sSub&gt;&lt;m:sSubPr&gt;&lt;m:ctrlPr&gt;&lt;w:rPr&gt;&lt;w:rFonts w:ascii=&quot;Cambria Math&quot; w:h-ansi=&quot;Cambria Math&quot;/&gt;&lt;wx:font wx:val=&quot;Cambria Math&quot;/&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m:rPr&gt;&lt;m:sty m:val=&quot;p&quot;/&gt;&lt;/m:rPr&gt;&lt;w:rPr&gt;&lt;w:rFonts w:ascii=&quot;Cambria Math&quot; w:h-ansi=&quot;Cambria Math&quot;/&gt;&lt;wx:font wx:val=&quot;Cambria Math&quot;/&gt;&lt;w:sz w:val=&quot;18&quot;/&gt;&lt;w:sz-cs w:val=&quot;18&quot;/&gt;&lt;/w:rPr&gt;&lt;m:t&gt;0&lt;/m:t&gt;&lt;/m:r&gt;&lt;/m:sub&gt;&lt;/m:sSub&gt;&lt;/m:sub&gt;&lt;m:sup&gt;&lt;m:r&gt;&lt;m:rPr&gt;&lt;m:sty m:val=&quot;p&quot;/&gt;&lt;/m:rPr&gt;&lt;w:rPr&gt;&lt;w:rFonts w:ascii=&quot;Cambria Math&quot; w:h-ansi=&quot;Cambria Math&quot;/&gt;&lt;wx:font wx:val=&quot;Cambria Math&quot;/&gt;&lt;w:sz w:val=&quot;18&quot;/&gt;&lt;w:sz-cs w:val=&quot;18&quot;/&gt;&lt;/w:rPr&gt;&lt;m:t&gt;2&lt;/m:t&gt;&lt;/m:r&gt;&lt;/m:sup&gt;&lt;/m:sSubSup&gt;&lt;m:d&gt;&lt;m:dPr&gt;&lt;m:ctrlPr&gt;&lt;w:rPr&gt;&lt;w:rFonts w:ascii=&quot;Cambria Math&quot; w:h-ansi=&quot;Cambria Math&quot;/&gt;&lt;wx:font wx:val=&quot;Cambria Math&quot;/&gt;&lt;w:sz w:val=&quot;18&quot;/&gt;&lt;w:sz-cs w:val=&quot;18&quot;/&gt;&lt;/w:rPr&gt;&lt;/m:ctrlPr&gt;&lt;/m:dPr&gt;&lt;m:e&gt;&lt;m:r&gt;&lt;w:rPr&gt;&lt;w:rFonts w:ascii=&quot;Cambria Math&quot; w:h-ansi=&quot;Cambria Math&quot;/&gt;&lt;wx:font wx:val=&quot;Cambria Math&quot;/&gt;&lt;w:i/&gt;&lt;w:sz w:val=&quot;18&quot;/&gt;&lt;w:sz-cs w:val=&quot;18&quot;/&gt;&lt;/w:rPr&gt;&lt;m:t&gt;λ&lt;/m:t&gt;&lt;/m:r&gt;&lt;m:r&gt;&lt;m:rPr&gt;&lt;m:sty m:val=&quot;p&quot;/&gt;&lt;/m:rPr&gt;&lt;w:rPr&gt;&lt;w:rFontsr w:&gt;ascmii=t&quot;CaPmbr&lt;ia :Matrh&quot; w:eh-ansi=&quot;Cambria Math&quot;/&gt;&lt;wx:font wx:val=&quot;Cambria Math&quot;/&gt;&lt;w:sz w:val=&quot;18&quot;/&gt;&lt;w:sz-cs w:val=&quot;18&quot;/&gt;&lt;/w:rPr&gt;&lt;m:t&gt;,&lt;/m:t&gt;&lt;/m:r&gt;&lt;m:r&gt;&lt;w:rPr&gt;&lt;w:rFonts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lt;/m:t&gt;&lt;/m:r&gt;&lt;m:r&gt;&lt;w:rPr&gt;&lt;w:rFonts w:ascii=&quot;Cambria Math&quot; w:h-ansi=&quot;Cambria Math&quot;/&gt;&lt;wx:font wx:val=&quot;Cambria Math&quot;/&gt;&lt;w:i/&gt;&lt;w:sz w:val=&quot;18&quot;/&gt;&lt;w:sz-cs w:val=&quot;18&quot;/&gt;&lt;/w:rPr&gt;&lt;m:t&gt;k&lt;/m:t&gt;&lt;/m:r&gt;&lt;/m:e&gt;&lt;/m:d&gt;&lt;/m:e&gt;&lt;/m:nary&gt;&lt;m:r&gt;&lt;m:rPr&gt;&lt;m:sty m:val=&quot;p&quot;/&gt;&lt;/m:rPr&gt;&lt;w:rPr&gt;&lt;w:rFonts w:ascii=&quot;Cambria Math&quot; w:h-ansi=&quot;Cambria Math&quot;/&gt;&lt;wx:font wx:val=&quot;Cambria Math&quot;/&gt;&lt;w:sz w:val=&quot;18&quot;/&gt;&lt;w:sz-cs w:val=&quot;18&quot;/&gt;&lt;/w:rPr&gt;&lt;m:t&gt;≤&lt;/m:t&gt;&lt;/m:r&gt;&lt;m:sSub&gt;&lt;m:sSubPr&gt;&lt;m:ctrlPr&gt;&lt;w:rPr&gt;&lt;w:rFonts w:ascii=&quot;Cambria Math&quot; w:h-ansi=&quot;Cambria Math&quot;/&gt;&gt;&lt;wxr:fon&lt;t wxF:vals=&quot;Caambriia Maath&quot;/&gt;&lt; w:sz w:val=&quot;18&quot;/&gt;&lt;w:sz-cs w:val=&quot;18&quot;/&gt;&lt;/w:rPr&gt;&lt;/m:ctrlPr&gt;&lt;/m:sSubPr&gt;&lt;m:e&gt;&lt;m:r&gt;&lt;w:rPr&gt;&lt;w:rFonts w:ascii=&quot;Cambria Math&quot; w:h-ansi=&quot;Cambria Math&quot;/&gt;&lt;wx:font wx:val=&quot;Cambria Math&quot;/&gt;&lt;w:i/&gt;&lt;w:sz w:val=&quot;18&quot;/&gt;&lt;w:sz-cs w:val=&quot;18&quot;/&gt;&lt;/w:rPr&gt;&lt;m:t&gt;γ&lt;/ma:t&gt;&lt;/im:r&gt;&lt;a/m:e&gt;&lt;m :sub&gt;&lt;m:sSub&gt;&lt;m:sSubPr&gt;&lt;m:ctrlPr&gt;&lt;w:rPr&gt;&lt;w:rFonts w:ascii=&quot;Cambria Math&quot; w:h-ansi=&quot;Cambria Math&quot;/&gt;&lt;wx:font wx:val=&quot;Cambria Math&quot;/&gt;&lt;w:sz w:val=&quot;18&quot;/&gt;&lt;w:sz-cs w:val=&quot;18&quot;/&gt;&lt;/w:rPr&gt;&lt;/m:ctrlPr&gt;&lt;/m:sSubPr&gt;&lt;m:e&gt;&lt;m:r&gt;l&lt;w:rP&quot;r&gt;&lt;w:wrFont&gt;s w:a&gt;scii=&quot;Cambria Math&quot; w:h-ansi=&quot;Cambria Math&quot;/&gt;&lt;wx:font wx:val=&quot;Cambria Math&quot;/&gt;&lt;w:i/&gt;&lt;w:sz w:val=&quot;18&quot;/&gt;&lt;w:sz-cs w:val=&quot;18&quot;/&gt;&lt;/w:rPr&gt;&lt;m:t&gt;l&lt;/m:t&gt;&lt;/m:r&gt;&lt;/m:e&gt;&lt;m:sub&gt;&lt;m:r&gt;&lt;m:rPr&gt;&lt;m:sty m:val=&quot;p&quot;/&gt;&lt;/m:rPr&gt;&lt;w:rPr&gt;&lt;w:rFonts w:ascii=&quot;Cambria Math&quot; w:h-ansi=&quot;Cambria Math&quot;/&gt;&lt;wx:font wx:val=&quot;Cambria Math&quot;/&gt;&lt;w:sz w:val=&quot;18&quot;/&gt;&lt;w:sz-cs w:val=&quot;18&quot;/&gt;&lt;/w:rPr&gt;&lt;m:t&gt;0&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sz w:val="20"/>
          <w:szCs w:val="20"/>
        </w:rPr>
        <w:instrText xml:space="preserve"> </w:instrText>
      </w:r>
      <w:r>
        <w:rPr>
          <w:sz w:val="20"/>
          <w:szCs w:val="20"/>
        </w:rPr>
        <w:fldChar w:fldCharType="end"/>
      </w:r>
      <w:r>
        <w:rPr>
          <w:sz w:val="20"/>
          <w:szCs w:val="20"/>
        </w:rPr>
        <w:t xml:space="preserve"> for each </w:t>
      </w:r>
      <w:r>
        <w:rPr>
          <w:position w:val="-14"/>
          <w:sz w:val="20"/>
          <w:szCs w:val="20"/>
        </w:rPr>
        <w:object w:dxaOrig="855" w:dyaOrig="399" w14:anchorId="6F5C1695">
          <v:shape id="_x0000_i1029" type="#_x0000_t75" style="width:42.75pt;height:20pt" o:ole="">
            <v:imagedata r:id="rId14" o:title=""/>
          </v:shape>
          <o:OLEObject Type="Embed" ProgID="Equation.DSMT4" ShapeID="_x0000_i1029" DrawAspect="Content" ObjectID="_1634801170" r:id="rId15"/>
        </w:object>
      </w:r>
      <w:r>
        <w:rPr>
          <w:sz w:val="20"/>
          <w:szCs w:val="20"/>
        </w:rPr>
        <w:fldChar w:fldCharType="begin"/>
      </w:r>
      <w:r>
        <w:rPr>
          <w:sz w:val="20"/>
          <w:szCs w:val="20"/>
        </w:rPr>
        <w:instrText xml:space="preserve"> QUOTE </w:instrText>
      </w:r>
      <w:r w:rsidR="00BE7A36">
        <w:rPr>
          <w:position w:val="-5"/>
          <w:sz w:val="20"/>
          <w:szCs w:val="20"/>
        </w:rPr>
        <w:pict w14:anchorId="3ADB4B97">
          <v:shape id="_x0000_i1030" type="#_x0000_t75" style="width:35.0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6B&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9656B&quot; wsp:rsidP=&quot;0089656B&quot;&gt;&lt;m:oMathPara&gt;&lt;m:oMath&gt;&lt;m:r&gt;&lt;w:rPr&gt;&lt;w:rFonts w:ascii=&quot;Cambria Math&quot; w:h-ansi=&quot;Cambria Math&quot;/&gt;&lt;wx:font wx:val=&quot;Cambria Math&quot;/&gt;&lt;w:i/&gt;&lt;/w:rPr&gt;&lt;m:t&gt;(λ,k,&lt;/m:t&gt;&lt;/m:r&gt;&lt;m:sSub&gt;&lt;m:sSubPr&gt;&lt;m:wwwwwwwwctp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 w:val="20"/>
          <w:szCs w:val="20"/>
        </w:rPr>
        <w:instrText xml:space="preserve"> </w:instrText>
      </w:r>
      <w:r>
        <w:rPr>
          <w:sz w:val="20"/>
          <w:szCs w:val="20"/>
        </w:rPr>
        <w:fldChar w:fldCharType="end"/>
      </w:r>
      <w:r>
        <w:rPr>
          <w:sz w:val="20"/>
          <w:szCs w:val="20"/>
        </w:rPr>
        <w:t xml:space="preserve"> where </w:t>
      </w:r>
      <w:r>
        <w:rPr>
          <w:position w:val="-14"/>
          <w:sz w:val="20"/>
          <w:szCs w:val="20"/>
        </w:rPr>
        <w:object w:dxaOrig="1283" w:dyaOrig="399" w14:anchorId="09EFA445">
          <v:shape id="_x0000_i1031" type="#_x0000_t75" style="width:64.3pt;height:20pt" o:ole="">
            <v:imagedata r:id="rId17" o:title=""/>
          </v:shape>
          <o:OLEObject Type="Embed" ProgID="Equation.DSMT4" ShapeID="_x0000_i1031" DrawAspect="Content" ObjectID="_1634801171" r:id="rId18"/>
        </w:object>
      </w:r>
      <w:r>
        <w:rPr>
          <w:sz w:val="20"/>
          <w:szCs w:val="20"/>
        </w:rPr>
        <w:fldChar w:fldCharType="begin"/>
      </w:r>
      <w:r>
        <w:rPr>
          <w:sz w:val="20"/>
          <w:szCs w:val="20"/>
        </w:rPr>
        <w:instrText xml:space="preserve"> QUOTE </w:instrText>
      </w:r>
      <w:r w:rsidR="00BE7A36">
        <w:rPr>
          <w:position w:val="-5"/>
          <w:sz w:val="20"/>
          <w:szCs w:val="20"/>
        </w:rPr>
        <w:pict w14:anchorId="497D9853">
          <v:shape id="_x0000_i1032" type="#_x0000_t75" style="width:50.8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82D&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C182D&quot; wsp:rsidP=&quot;002C182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NZ&lt;/m:t&gt;&lt;/m:r&gt;&lt;/m:sub&gt;&lt;/m:sSub&gt;&lt;m:r&gt;&lt;w:rPr&gt;&lt;w:rFonts w:ascii=&quot;Cambria Math&quot; w:h-ansi=&quot;Cambria Math&quot;/&gt;&lt;wx:font wx:val=&quot;Cambria Math&quot;/&gt;&lt;w:i/&gt;&lt;/w:rPr&gt;&lt;m:t&gt;(λ,k,&lt;/m:t&gt;&lt;/m:r&gt;&lt;m:sSub&gt;&lt;m:sSubPr&gt;&lt;m:ctrlPr&gt;&lt;w:rPr&gt;&lt;w:rFonts w:ascii=&quot;Cambria Math&gt;&gt;&gt;&gt;&gt;&gt;&gt;&gt;&quot; w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rPr>
        <w:instrText xml:space="preserve"> </w:instrText>
      </w:r>
      <w:r>
        <w:rPr>
          <w:sz w:val="20"/>
          <w:szCs w:val="20"/>
        </w:rPr>
        <w:fldChar w:fldCharType="end"/>
      </w:r>
      <w:r>
        <w:rPr>
          <w:sz w:val="20"/>
          <w:szCs w:val="20"/>
        </w:rPr>
        <w:t xml:space="preserve"> denotes the number of NZCs associated </w:t>
      </w:r>
      <w:proofErr w:type="gramStart"/>
      <w:r>
        <w:rPr>
          <w:sz w:val="20"/>
          <w:szCs w:val="20"/>
        </w:rPr>
        <w:t xml:space="preserve">with </w:t>
      </w:r>
      <w:proofErr w:type="gramEnd"/>
      <w:r>
        <w:rPr>
          <w:position w:val="-14"/>
          <w:sz w:val="20"/>
          <w:szCs w:val="20"/>
        </w:rPr>
        <w:object w:dxaOrig="855" w:dyaOrig="399" w14:anchorId="724976E6">
          <v:shape id="_x0000_i1033" type="#_x0000_t75" style="width:42.75pt;height:20pt" o:ole="">
            <v:imagedata r:id="rId14" o:title=""/>
          </v:shape>
          <o:OLEObject Type="Embed" ProgID="Equation.DSMT4" ShapeID="_x0000_i1033" DrawAspect="Content" ObjectID="_1634801172" r:id="rId20"/>
        </w:object>
      </w:r>
      <w:r>
        <w:rPr>
          <w:sz w:val="20"/>
          <w:szCs w:val="20"/>
        </w:rPr>
        <w:fldChar w:fldCharType="begin"/>
      </w:r>
      <w:r>
        <w:rPr>
          <w:sz w:val="20"/>
          <w:szCs w:val="20"/>
        </w:rPr>
        <w:instrText xml:space="preserve"> QUOTE </w:instrText>
      </w:r>
      <w:r w:rsidR="00BE7A36">
        <w:rPr>
          <w:position w:val="-5"/>
          <w:sz w:val="20"/>
          <w:szCs w:val="20"/>
        </w:rPr>
        <w:pict w14:anchorId="07635217">
          <v:shape id="_x0000_i1034" type="#_x0000_t75" style="width:35.05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B7&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52BB7&quot; wsp:rsidP=&quot;00052BB7&quot;&gt;&lt;m:oMathPara&gt;&lt;m:oMath&gt;&lt;m:r&gt;&lt;w:rPr&gt;&lt;w:rFonts w:ascii=&quot;Cambria Math&quot; w:h-ansi=&quot;Cambria Math&quot;/&gt;&lt;wx:font wx:val=&quot;Cambria Math&quot;/&gt;&lt;w:i/&gt;&lt;/w:rPr&gt;&lt;m:t&gt;(λ,k,&lt;/m:t&gt;&lt;/m:r&gt;&lt;m:sSub&gt;&lt;m:sSubPr&gt;&lt;m:wwwwwwwwctp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 w:val="20"/>
          <w:szCs w:val="20"/>
        </w:rPr>
        <w:instrText xml:space="preserve"> </w:instrText>
      </w:r>
      <w:r>
        <w:rPr>
          <w:sz w:val="20"/>
          <w:szCs w:val="20"/>
        </w:rPr>
        <w:fldChar w:fldCharType="end"/>
      </w:r>
      <w:r>
        <w:rPr>
          <w:sz w:val="20"/>
          <w:szCs w:val="20"/>
        </w:rPr>
        <w:t>.</w:t>
      </w:r>
    </w:p>
    <w:p w14:paraId="64E261BC" w14:textId="77777777" w:rsidR="00303681" w:rsidRDefault="00BC1AE1">
      <w:pPr>
        <w:pStyle w:val="ListParagraph"/>
        <w:numPr>
          <w:ilvl w:val="1"/>
          <w:numId w:val="8"/>
        </w:numPr>
        <w:adjustRightInd w:val="0"/>
        <w:snapToGrid w:val="0"/>
        <w:spacing w:after="0" w:line="240" w:lineRule="auto"/>
        <w:ind w:firstLine="400"/>
        <w:rPr>
          <w:sz w:val="20"/>
          <w:szCs w:val="20"/>
        </w:rPr>
      </w:pPr>
      <w:r>
        <w:rPr>
          <w:sz w:val="20"/>
          <w:szCs w:val="20"/>
        </w:rPr>
        <w:lastRenderedPageBreak/>
        <w:t xml:space="preserve">The value of </w:t>
      </w:r>
      <w:bookmarkStart w:id="5" w:name="MTBlankEqn"/>
      <w:r>
        <w:rPr>
          <w:position w:val="-14"/>
          <w:sz w:val="20"/>
          <w:szCs w:val="20"/>
        </w:rPr>
        <w:object w:dxaOrig="299" w:dyaOrig="378" w14:anchorId="0850EBA4">
          <v:shape id="_x0000_i1035" type="#_x0000_t75" style="width:15pt;height:18.85pt" o:ole="">
            <v:imagedata r:id="rId21" o:title=""/>
          </v:shape>
          <o:OLEObject Type="Embed" ProgID="Equation.DSMT4" ShapeID="_x0000_i1035" DrawAspect="Content" ObjectID="_1634801173" r:id="rId22"/>
        </w:object>
      </w:r>
      <w:bookmarkEnd w:id="5"/>
      <w:r>
        <w:rPr>
          <w:sz w:val="20"/>
          <w:szCs w:val="20"/>
        </w:rPr>
        <w:fldChar w:fldCharType="begin"/>
      </w:r>
      <w:r>
        <w:rPr>
          <w:sz w:val="20"/>
          <w:szCs w:val="20"/>
        </w:rPr>
        <w:instrText xml:space="preserve"> QUOTE </w:instrText>
      </w:r>
      <w:r w:rsidR="00BE7A36">
        <w:rPr>
          <w:position w:val="-6"/>
          <w:sz w:val="20"/>
          <w:szCs w:val="20"/>
        </w:rPr>
        <w:pict w14:anchorId="236C974C">
          <v:shape id="_x0000_i1036" type="#_x0000_t75" style="width:10.4pt;height:11.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68&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A6868&quot; wsp:rsidP=&quot;001A6868&quot;&gt;&lt;m:oMathPara&gt;&lt;m:oMath&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γ&lt;/m:t&gt;&lt;/m:r&gt;&lt;/m:e&gt;&lt;m:sub&gt;&lt;m:sSub&gt;&lt;m:sSubPr&gt;&lt;m:ct::::::::rla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0&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sz w:val="20"/>
          <w:szCs w:val="20"/>
        </w:rPr>
        <w:instrText xml:space="preserve"> </w:instrText>
      </w:r>
      <w:r>
        <w:rPr>
          <w:sz w:val="20"/>
          <w:szCs w:val="20"/>
        </w:rPr>
        <w:fldChar w:fldCharType="end"/>
      </w:r>
      <w:r>
        <w:rPr>
          <w:sz w:val="20"/>
          <w:szCs w:val="20"/>
        </w:rPr>
        <w:t xml:space="preserve"> is configured from the Rel.15 2-bit amplitude restriction table</w:t>
      </w:r>
    </w:p>
    <w:p w14:paraId="5BCC5E42" w14:textId="77777777" w:rsidR="00303681" w:rsidRDefault="00BC1AE1">
      <w:pPr>
        <w:pStyle w:val="ListParagraph"/>
        <w:numPr>
          <w:ilvl w:val="1"/>
          <w:numId w:val="8"/>
        </w:numPr>
        <w:adjustRightInd w:val="0"/>
        <w:snapToGrid w:val="0"/>
        <w:spacing w:after="0" w:line="240" w:lineRule="auto"/>
        <w:ind w:firstLine="400"/>
        <w:rPr>
          <w:sz w:val="20"/>
          <w:szCs w:val="20"/>
        </w:rPr>
      </w:pPr>
      <w:r>
        <w:rPr>
          <w:sz w:val="20"/>
          <w:szCs w:val="20"/>
        </w:rPr>
        <w:t>The number of beam-groups is the same as Rel.15 Type II CBSR</w:t>
      </w:r>
    </w:p>
    <w:p w14:paraId="4A48F892" w14:textId="77777777" w:rsidR="00303681" w:rsidRDefault="00BC1AE1">
      <w:pPr>
        <w:adjustRightInd w:val="0"/>
        <w:snapToGrid w:val="0"/>
        <w:spacing w:after="0" w:line="240" w:lineRule="auto"/>
        <w:rPr>
          <w:sz w:val="20"/>
          <w:szCs w:val="20"/>
        </w:rPr>
      </w:pPr>
      <w:r>
        <w:rPr>
          <w:sz w:val="20"/>
          <w:szCs w:val="20"/>
        </w:rPr>
        <w:t xml:space="preserve">Support Alt0 as mandatory and Alt3A (described above) as optional analogous to Rel.15 Type II codebook. </w:t>
      </w:r>
    </w:p>
    <w:p w14:paraId="6C74D6C6" w14:textId="77777777" w:rsidR="00303681" w:rsidRDefault="00BC1AE1">
      <w:pPr>
        <w:pStyle w:val="ListParagraph"/>
        <w:numPr>
          <w:ilvl w:val="0"/>
          <w:numId w:val="9"/>
        </w:numPr>
        <w:adjustRightInd w:val="0"/>
        <w:snapToGrid w:val="0"/>
        <w:spacing w:after="0" w:line="240" w:lineRule="auto"/>
        <w:ind w:firstLine="400"/>
        <w:rPr>
          <w:sz w:val="20"/>
          <w:szCs w:val="20"/>
        </w:rPr>
      </w:pPr>
      <w:r>
        <w:rPr>
          <w:sz w:val="20"/>
          <w:szCs w:val="20"/>
        </w:rPr>
        <w:t>Cf. Notes in UE capability agreement in RAN1#98bis regarding “mandatory” and “optional”</w:t>
      </w:r>
    </w:p>
    <w:p w14:paraId="59604CAF" w14:textId="77777777" w:rsidR="00303681" w:rsidRDefault="00BC1AE1">
      <w:pPr>
        <w:adjustRightInd w:val="0"/>
        <w:snapToGrid w:val="0"/>
        <w:spacing w:after="0" w:line="240" w:lineRule="auto"/>
        <w:rPr>
          <w:b/>
          <w:bCs/>
          <w:sz w:val="20"/>
          <w:szCs w:val="20"/>
        </w:rPr>
      </w:pPr>
      <w:r>
        <w:rPr>
          <w:b/>
          <w:bCs/>
          <w:sz w:val="20"/>
          <w:szCs w:val="20"/>
        </w:rPr>
        <w:t>Agreement</w:t>
      </w:r>
    </w:p>
    <w:p w14:paraId="5E6ABEFF" w14:textId="77777777" w:rsidR="00303681" w:rsidRDefault="00BC1AE1">
      <w:pPr>
        <w:pStyle w:val="0Maintext"/>
        <w:adjustRightInd w:val="0"/>
        <w:snapToGrid w:val="0"/>
        <w:spacing w:after="0" w:afterAutospacing="0" w:line="240" w:lineRule="auto"/>
        <w:ind w:firstLine="0"/>
        <w:rPr>
          <w:rFonts w:cs="Times New Roman"/>
          <w:lang w:val="en-US"/>
        </w:rPr>
      </w:pPr>
      <w:r>
        <w:rPr>
          <w:rFonts w:cs="Times New Roman"/>
          <w:lang w:val="en-US"/>
        </w:rPr>
        <w:t>For Rel.16 Type II codebook, when R=2:</w:t>
      </w:r>
    </w:p>
    <w:p w14:paraId="402E2C48" w14:textId="77777777" w:rsidR="00303681" w:rsidRDefault="00BC1AE1">
      <w:pPr>
        <w:pStyle w:val="0Maintext"/>
        <w:numPr>
          <w:ilvl w:val="0"/>
          <w:numId w:val="10"/>
        </w:numPr>
        <w:adjustRightInd w:val="0"/>
        <w:snapToGrid w:val="0"/>
        <w:spacing w:after="0" w:afterAutospacing="0" w:line="240" w:lineRule="auto"/>
        <w:rPr>
          <w:rFonts w:cs="Times New Roman"/>
          <w:lang w:val="en-US"/>
        </w:rPr>
      </w:pPr>
      <w:r>
        <w:rPr>
          <w:rFonts w:cs="Times New Roman"/>
          <w:lang w:val="en-US"/>
        </w:rPr>
        <w:t xml:space="preserve">When the actual CQI sub-band size is equal to the configured CQI sub-band size, the CQI sub-band is split into two equal parts wherein each part corresponds to a PMI sub-band. </w:t>
      </w:r>
    </w:p>
    <w:p w14:paraId="4665925C" w14:textId="77777777" w:rsidR="00303681" w:rsidRDefault="00BC1AE1">
      <w:pPr>
        <w:pStyle w:val="0Maintext"/>
        <w:numPr>
          <w:ilvl w:val="0"/>
          <w:numId w:val="10"/>
        </w:numPr>
        <w:adjustRightInd w:val="0"/>
        <w:snapToGrid w:val="0"/>
        <w:spacing w:after="0" w:afterAutospacing="0" w:line="240" w:lineRule="auto"/>
        <w:rPr>
          <w:rFonts w:cs="Times New Roman"/>
          <w:lang w:val="en-US"/>
        </w:rPr>
      </w:pPr>
      <w:r>
        <w:rPr>
          <w:rFonts w:eastAsia="宋体" w:cs="Times New Roman"/>
          <w:lang w:val="en-US" w:eastAsia="zh-CN"/>
        </w:rPr>
        <w:t>For edge CQI sub-bands:</w:t>
      </w:r>
    </w:p>
    <w:p w14:paraId="41ACA2D9" w14:textId="77777777" w:rsidR="00303681" w:rsidRDefault="00BC1AE1">
      <w:pPr>
        <w:pStyle w:val="0Maintext"/>
        <w:numPr>
          <w:ilvl w:val="1"/>
          <w:numId w:val="10"/>
        </w:numPr>
        <w:adjustRightInd w:val="0"/>
        <w:snapToGrid w:val="0"/>
        <w:spacing w:after="0" w:afterAutospacing="0" w:line="240" w:lineRule="auto"/>
        <w:rPr>
          <w:rFonts w:cs="Times New Roman"/>
          <w:lang w:val="en-US"/>
        </w:rPr>
      </w:pPr>
      <w:r>
        <w:rPr>
          <w:rFonts w:eastAsia="宋体" w:cs="Times New Roman"/>
          <w:lang w:val="en-US" w:eastAsia="zh-CN"/>
        </w:rPr>
        <w:t xml:space="preserve">When an edge CQI sub-band size is less than or equal to the half of the configured CQI sub-band size, there is only one PMI sub-band with the same size as the edge CQI sub-band. </w:t>
      </w:r>
    </w:p>
    <w:p w14:paraId="16F026FE" w14:textId="77777777" w:rsidR="00303681" w:rsidRDefault="00BC1AE1">
      <w:pPr>
        <w:pStyle w:val="0Maintext"/>
        <w:numPr>
          <w:ilvl w:val="1"/>
          <w:numId w:val="10"/>
        </w:numPr>
        <w:adjustRightInd w:val="0"/>
        <w:snapToGrid w:val="0"/>
        <w:spacing w:after="0" w:afterAutospacing="0" w:line="240" w:lineRule="auto"/>
        <w:rPr>
          <w:rFonts w:cs="Times New Roman"/>
          <w:lang w:val="en-US"/>
        </w:rPr>
      </w:pPr>
      <w:r>
        <w:rPr>
          <w:rFonts w:eastAsia="宋体" w:cs="Times New Roman"/>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16148EAE" w14:textId="77777777" w:rsidR="00303681" w:rsidRDefault="00BC1AE1">
      <w:pPr>
        <w:pStyle w:val="0Maintext"/>
        <w:adjustRightInd w:val="0"/>
        <w:snapToGrid w:val="0"/>
        <w:spacing w:after="0" w:afterAutospacing="0" w:line="240" w:lineRule="auto"/>
        <w:ind w:firstLine="0"/>
        <w:rPr>
          <w:rFonts w:cs="Times New Roman"/>
          <w:lang w:val="en-US"/>
        </w:rPr>
      </w:pPr>
      <w:r>
        <w:rPr>
          <w:rFonts w:cs="Times New Roman"/>
          <w:b/>
          <w:lang w:val="en-US"/>
        </w:rPr>
        <w:t>Conclusion</w:t>
      </w:r>
    </w:p>
    <w:p w14:paraId="2DB269BA" w14:textId="77777777" w:rsidR="00303681" w:rsidRDefault="00BC1AE1">
      <w:pPr>
        <w:pStyle w:val="0Maintext"/>
        <w:adjustRightInd w:val="0"/>
        <w:snapToGrid w:val="0"/>
        <w:spacing w:after="0" w:afterAutospacing="0" w:line="240" w:lineRule="auto"/>
        <w:ind w:firstLine="0"/>
        <w:rPr>
          <w:rFonts w:eastAsia="宋体" w:cs="Times New Roman"/>
          <w:lang w:val="en-US" w:eastAsia="zh-CN"/>
        </w:rPr>
      </w:pPr>
      <w:r>
        <w:rPr>
          <w:rFonts w:cs="Times New Roman"/>
          <w:lang w:val="en-US"/>
        </w:rPr>
        <w:t xml:space="preserve">For Rel.16 Type II codebook, there is no consensus in introducing restriction to </w:t>
      </w:r>
      <w:r>
        <w:rPr>
          <w:rFonts w:eastAsia="宋体" w:cs="Times New Roman"/>
          <w:lang w:val="en-US" w:eastAsia="zh-CN"/>
        </w:rPr>
        <w:t>support only contiguous sub-band configuration for CSI reporting</w:t>
      </w:r>
    </w:p>
    <w:p w14:paraId="308EC71C" w14:textId="77777777" w:rsidR="00303681" w:rsidRDefault="00BC1AE1">
      <w:pPr>
        <w:adjustRightInd w:val="0"/>
        <w:snapToGrid w:val="0"/>
        <w:spacing w:after="0" w:line="240" w:lineRule="auto"/>
        <w:rPr>
          <w:b/>
          <w:bCs/>
          <w:sz w:val="20"/>
          <w:szCs w:val="20"/>
        </w:rPr>
      </w:pPr>
      <w:r>
        <w:rPr>
          <w:b/>
          <w:bCs/>
          <w:sz w:val="20"/>
          <w:szCs w:val="20"/>
        </w:rPr>
        <w:t xml:space="preserve">Agreement </w:t>
      </w:r>
    </w:p>
    <w:p w14:paraId="70793C09" w14:textId="77777777" w:rsidR="00303681" w:rsidRDefault="00BC1AE1">
      <w:pPr>
        <w:pStyle w:val="Style10"/>
        <w:adjustRightInd w:val="0"/>
        <w:snapToGrid w:val="0"/>
        <w:spacing w:after="0" w:line="240" w:lineRule="auto"/>
        <w:ind w:firstLine="0"/>
        <w:rPr>
          <w:rFonts w:cs="Times New Roman"/>
        </w:rPr>
      </w:pPr>
      <w:r>
        <w:rPr>
          <w:rFonts w:cs="Times New Roman"/>
          <w:lang w:eastAsia="ko-KR"/>
        </w:rPr>
        <w:t xml:space="preserve">On UCI omission </w:t>
      </w:r>
      <w:r>
        <w:rPr>
          <w:rFonts w:cs="Times New Roman"/>
        </w:rPr>
        <w:t>for Rel.16 Type II codebook, the following scheme is supported:</w:t>
      </w:r>
    </w:p>
    <w:p w14:paraId="76010E51" w14:textId="77777777" w:rsidR="00303681" w:rsidRDefault="00BC1AE1">
      <w:pPr>
        <w:pStyle w:val="Style10"/>
        <w:numPr>
          <w:ilvl w:val="0"/>
          <w:numId w:val="11"/>
        </w:numPr>
        <w:spacing w:after="0" w:line="240" w:lineRule="auto"/>
        <w:rPr>
          <w:rFonts w:cs="Times New Roman"/>
        </w:rPr>
      </w:pPr>
      <w:r>
        <w:rPr>
          <w:rFonts w:cs="Times New Roman"/>
        </w:rPr>
        <w:t xml:space="preserve">Priority level definition: If priority levels of two LCCs </w:t>
      </w:r>
      <w:r>
        <w:rPr>
          <w:rFonts w:cs="Times New Roman"/>
        </w:rPr>
        <w:object w:dxaOrig="453" w:dyaOrig="391" w14:anchorId="17F4F23D">
          <v:shape id="_x0000_i1037" type="#_x0000_t75" style="width:22.7pt;height:19.65pt" o:ole="">
            <v:imagedata r:id="rId24" o:title=""/>
          </v:shape>
          <o:OLEObject Type="Embed" ProgID="Equation.DSMT4" ShapeID="_x0000_i1037" DrawAspect="Content" ObjectID="_1634801174" r:id="rId25"/>
        </w:object>
      </w:r>
      <w:r>
        <w:rPr>
          <w:rFonts w:cs="Times New Roman"/>
        </w:rPr>
        <w:t>and</w:t>
      </w:r>
      <w:r>
        <w:rPr>
          <w:rFonts w:cs="Times New Roman"/>
        </w:rPr>
        <w:object w:dxaOrig="494" w:dyaOrig="391" w14:anchorId="2AFDC768">
          <v:shape id="_x0000_i1038" type="#_x0000_t75" style="width:24.65pt;height:19.65pt" o:ole="">
            <v:imagedata r:id="rId26" o:title=""/>
          </v:shape>
          <o:OLEObject Type="Embed" ProgID="Equation.DSMT4" ShapeID="_x0000_i1038" DrawAspect="Content" ObjectID="_1634801175" r:id="rId27"/>
        </w:object>
      </w:r>
      <w:r>
        <w:rPr>
          <w:rFonts w:cs="Times New Roman"/>
        </w:rPr>
        <w:t xml:space="preserve"> are such that </w:t>
      </w:r>
      <w:proofErr w:type="spellStart"/>
      <w:r>
        <w:rPr>
          <w:rFonts w:cs="Times New Roman"/>
          <w:lang w:val="en-US"/>
        </w:rPr>
        <w:t>Prio</w:t>
      </w:r>
      <w:proofErr w:type="spellEnd"/>
      <w:r>
        <w:rPr>
          <w:rFonts w:cs="Times New Roman"/>
          <w:lang w:val="en-US"/>
        </w:rPr>
        <w:t>(λ</w:t>
      </w:r>
      <w:r>
        <w:rPr>
          <w:rFonts w:cs="Times New Roman"/>
          <w:vertAlign w:val="subscript"/>
          <w:lang w:val="en-US" w:eastAsia="zh-CN"/>
        </w:rPr>
        <w:t>2</w:t>
      </w:r>
      <w:r>
        <w:rPr>
          <w:rFonts w:cs="Times New Roman"/>
          <w:lang w:val="en-US"/>
        </w:rPr>
        <w:t>,l</w:t>
      </w:r>
      <w:r>
        <w:rPr>
          <w:rFonts w:cs="Times New Roman"/>
          <w:vertAlign w:val="subscript"/>
          <w:lang w:val="en-US"/>
        </w:rPr>
        <w:t>2,</w:t>
      </w:r>
      <w:r>
        <w:rPr>
          <w:rFonts w:cs="Times New Roman"/>
          <w:lang w:val="en-US"/>
        </w:rPr>
        <w:t>m</w:t>
      </w:r>
      <w:r>
        <w:rPr>
          <w:rFonts w:cs="Times New Roman"/>
          <w:vertAlign w:val="subscript"/>
          <w:lang w:val="en-US"/>
        </w:rPr>
        <w:t>2</w:t>
      </w:r>
      <w:r>
        <w:rPr>
          <w:rFonts w:cs="Times New Roman"/>
          <w:lang w:val="en-US"/>
        </w:rPr>
        <w:t xml:space="preserve">)&lt; </w:t>
      </w:r>
      <w:proofErr w:type="spellStart"/>
      <w:r>
        <w:rPr>
          <w:rFonts w:cs="Times New Roman"/>
          <w:lang w:val="en-US"/>
        </w:rPr>
        <w:t>Prio</w:t>
      </w:r>
      <w:proofErr w:type="spellEnd"/>
      <w:r>
        <w:rPr>
          <w:rFonts w:cs="Times New Roman"/>
          <w:lang w:val="en-US"/>
        </w:rPr>
        <w:t>(λ</w:t>
      </w:r>
      <w:r>
        <w:rPr>
          <w:rFonts w:cs="Times New Roman"/>
          <w:vertAlign w:val="subscript"/>
          <w:lang w:val="en-US" w:eastAsia="zh-CN"/>
        </w:rPr>
        <w:t>1</w:t>
      </w:r>
      <w:r>
        <w:rPr>
          <w:rFonts w:cs="Times New Roman"/>
          <w:lang w:val="en-US"/>
        </w:rPr>
        <w:t>,l</w:t>
      </w:r>
      <w:r>
        <w:rPr>
          <w:rFonts w:cs="Times New Roman"/>
          <w:vertAlign w:val="subscript"/>
          <w:lang w:val="en-US"/>
        </w:rPr>
        <w:t>1</w:t>
      </w:r>
      <w:r>
        <w:rPr>
          <w:rFonts w:cs="Times New Roman"/>
          <w:lang w:val="en-US"/>
        </w:rPr>
        <w:t>,m</w:t>
      </w:r>
      <w:r>
        <w:rPr>
          <w:rFonts w:cs="Times New Roman"/>
          <w:vertAlign w:val="subscript"/>
          <w:lang w:val="en-US"/>
        </w:rPr>
        <w:t>1</w:t>
      </w:r>
      <w:r>
        <w:rPr>
          <w:rFonts w:cs="Times New Roman"/>
          <w:lang w:val="en-US"/>
        </w:rPr>
        <w:t>)</w:t>
      </w:r>
      <w:r>
        <w:rPr>
          <w:rFonts w:cs="Times New Roman"/>
        </w:rPr>
        <w:t xml:space="preserve">, LCC </w:t>
      </w:r>
      <w:r>
        <w:rPr>
          <w:rFonts w:cs="Times New Roman"/>
        </w:rPr>
        <w:object w:dxaOrig="494" w:dyaOrig="391" w14:anchorId="64D7B1ED">
          <v:shape id="_x0000_i1039" type="#_x0000_t75" style="width:24.65pt;height:19.65pt" o:ole="">
            <v:imagedata r:id="rId26" o:title=""/>
          </v:shape>
          <o:OLEObject Type="Embed" ProgID="Equation.DSMT4" ShapeID="_x0000_i1039" DrawAspect="Content" ObjectID="_1634801176" r:id="rId28"/>
        </w:object>
      </w:r>
      <w:r>
        <w:rPr>
          <w:rFonts w:cs="Times New Roman"/>
        </w:rPr>
        <w:t xml:space="preserve"> has a higher priority over </w:t>
      </w:r>
      <w:r>
        <w:rPr>
          <w:rFonts w:cs="Times New Roman"/>
        </w:rPr>
        <w:object w:dxaOrig="453" w:dyaOrig="391" w14:anchorId="41D1C670">
          <v:shape id="_x0000_i1040" type="#_x0000_t75" style="width:22.7pt;height:19.65pt" o:ole="">
            <v:imagedata r:id="rId24" o:title=""/>
          </v:shape>
          <o:OLEObject Type="Embed" ProgID="Equation.DSMT4" ShapeID="_x0000_i1040" DrawAspect="Content" ObjectID="_1634801177" r:id="rId29"/>
        </w:object>
      </w:r>
    </w:p>
    <w:p w14:paraId="218F2CBE" w14:textId="77777777" w:rsidR="00303681" w:rsidRDefault="00BC1AE1">
      <w:pPr>
        <w:pStyle w:val="Style10"/>
        <w:numPr>
          <w:ilvl w:val="1"/>
          <w:numId w:val="11"/>
        </w:numPr>
        <w:spacing w:after="0" w:line="240" w:lineRule="auto"/>
        <w:rPr>
          <w:rFonts w:cs="Times New Roman"/>
        </w:rPr>
      </w:pPr>
      <w:r>
        <w:rPr>
          <w:rFonts w:cs="Times New Roman"/>
        </w:rPr>
        <w:t xml:space="preserve">Non-zero LC coefficients </w:t>
      </w:r>
      <w:r>
        <w:rPr>
          <w:rFonts w:cs="Times New Roman"/>
          <w:position w:val="-14"/>
        </w:rPr>
        <w:object w:dxaOrig="391" w:dyaOrig="411" w14:anchorId="27B67B66">
          <v:shape id="_x0000_i1041" type="#_x0000_t75" style="width:19.65pt;height:20.8pt" o:ole="">
            <v:imagedata r:id="rId30" o:title=""/>
          </v:shape>
          <o:OLEObject Type="Embed" ProgID="Equation.DSMT4" ShapeID="_x0000_i1041" DrawAspect="Content" ObjectID="_1634801178" r:id="rId31"/>
        </w:object>
      </w:r>
      <w:r>
        <w:rPr>
          <w:rFonts w:cs="Times New Roman"/>
        </w:rPr>
        <w:t xml:space="preserve">and bits of bitmap </w:t>
      </w:r>
      <w:r>
        <w:rPr>
          <w:rFonts w:cs="Times New Roman"/>
          <w:position w:val="-14"/>
        </w:rPr>
        <w:object w:dxaOrig="391" w:dyaOrig="381" w14:anchorId="1EA8C130">
          <v:shape id="_x0000_i1042" type="#_x0000_t75" style="width:19.65pt;height:18.85pt" o:ole="">
            <v:imagedata r:id="rId32" o:title=""/>
          </v:shape>
          <o:OLEObject Type="Embed" ProgID="Equation.DSMT4" ShapeID="_x0000_i1042" DrawAspect="Content" ObjectID="_1634801179" r:id="rId33"/>
        </w:object>
      </w:r>
      <w:r>
        <w:rPr>
          <w:rFonts w:cs="Times New Roman"/>
        </w:rPr>
        <w:t xml:space="preserve"> are prioritized/ordered from high to low priority according to (</w:t>
      </w:r>
      <w:r>
        <w:rPr>
          <w:rFonts w:cs="Times New Roman"/>
          <w:lang w:val="en-US"/>
        </w:rPr>
        <w:t>λ</w:t>
      </w:r>
      <w:r>
        <w:rPr>
          <w:rFonts w:cs="Times New Roman"/>
        </w:rPr>
        <w:t>,</w:t>
      </w:r>
      <w:proofErr w:type="spellStart"/>
      <w:r>
        <w:rPr>
          <w:rFonts w:cs="Times New Roman"/>
          <w:i/>
        </w:rPr>
        <w:t>l</w:t>
      </w:r>
      <w:r>
        <w:rPr>
          <w:rFonts w:cs="Times New Roman"/>
        </w:rPr>
        <w:t>,</w:t>
      </w:r>
      <w:r>
        <w:rPr>
          <w:rFonts w:cs="Times New Roman"/>
          <w:i/>
        </w:rPr>
        <w:t>m</w:t>
      </w:r>
      <w:proofErr w:type="spellEnd"/>
      <w:r>
        <w:rPr>
          <w:rFonts w:cs="Times New Roman"/>
        </w:rPr>
        <w:t xml:space="preserve">) with the same priority function </w:t>
      </w:r>
      <w:proofErr w:type="spellStart"/>
      <w:r>
        <w:rPr>
          <w:rFonts w:cs="Times New Roman"/>
        </w:rPr>
        <w:t>Prio</w:t>
      </w:r>
      <w:proofErr w:type="spellEnd"/>
      <w:r>
        <w:rPr>
          <w:rFonts w:cs="Times New Roman"/>
          <w:i/>
          <w:iCs/>
        </w:rPr>
        <w:t>(</w:t>
      </w:r>
      <w:r>
        <w:rPr>
          <w:rFonts w:cs="Times New Roman"/>
          <w:i/>
          <w:iCs/>
          <w:lang w:val="en-US"/>
        </w:rPr>
        <w:t>λ</w:t>
      </w:r>
      <w:r>
        <w:rPr>
          <w:rFonts w:cs="Times New Roman"/>
          <w:i/>
          <w:iCs/>
        </w:rPr>
        <w:t>,</w:t>
      </w:r>
      <w:proofErr w:type="spellStart"/>
      <w:r>
        <w:rPr>
          <w:rFonts w:cs="Times New Roman"/>
          <w:i/>
          <w:iCs/>
        </w:rPr>
        <w:t>l,m</w:t>
      </w:r>
      <w:proofErr w:type="spellEnd"/>
      <w:r>
        <w:rPr>
          <w:rFonts w:cs="Times New Roman"/>
          <w:i/>
          <w:iCs/>
        </w:rPr>
        <w:t>)</w:t>
      </w:r>
    </w:p>
    <w:p w14:paraId="0CB43D7C" w14:textId="77777777" w:rsidR="00303681" w:rsidRDefault="00BC1AE1">
      <w:pPr>
        <w:pStyle w:val="Style10"/>
        <w:numPr>
          <w:ilvl w:val="0"/>
          <w:numId w:val="11"/>
        </w:numPr>
        <w:spacing w:after="0" w:line="240" w:lineRule="auto"/>
        <w:rPr>
          <w:rFonts w:cs="Times New Roman"/>
        </w:rPr>
      </w:pPr>
      <w:r>
        <w:rPr>
          <w:rFonts w:cs="Times New Roman"/>
        </w:rPr>
        <w:t>G</w:t>
      </w:r>
      <w:r>
        <w:rPr>
          <w:rFonts w:cs="Times New Roman"/>
          <w:vertAlign w:val="subscript"/>
        </w:rPr>
        <w:t xml:space="preserve">1 </w:t>
      </w:r>
      <w:r>
        <w:rPr>
          <w:rFonts w:cs="Times New Roman"/>
        </w:rPr>
        <w:t xml:space="preserve">comprising the </w:t>
      </w:r>
      <w:r>
        <w:rPr>
          <w:rFonts w:cs="Times New Roman"/>
          <w:position w:val="-16"/>
        </w:rPr>
        <w:object w:dxaOrig="854" w:dyaOrig="360" w14:anchorId="4B080CB4">
          <v:shape id="_x0000_i1043" type="#_x0000_t75" style="width:42.75pt;height:18.1pt" o:ole="">
            <v:imagedata r:id="rId34" o:title=""/>
          </v:shape>
          <o:OLEObject Type="Embed" ProgID="Equation.DSMT4" ShapeID="_x0000_i1043" DrawAspect="Content" ObjectID="_1634801180" r:id="rId35"/>
        </w:object>
      </w:r>
      <w:r>
        <w:rPr>
          <w:rFonts w:cs="Times New Roman"/>
        </w:rPr>
        <w:t xml:space="preserve"> highest priority non-zero LC coefficients </w:t>
      </w:r>
      <w:r>
        <w:rPr>
          <w:rFonts w:cs="Times New Roman"/>
          <w:position w:val="-14"/>
        </w:rPr>
        <w:object w:dxaOrig="391" w:dyaOrig="411" w14:anchorId="0EDC2D0F">
          <v:shape id="_x0000_i1044" type="#_x0000_t75" style="width:19.65pt;height:20.8pt" o:ole="">
            <v:imagedata r:id="rId30" o:title=""/>
          </v:shape>
          <o:OLEObject Type="Embed" ProgID="Equation.DSMT4" ShapeID="_x0000_i1044" DrawAspect="Content" ObjectID="_1634801181" r:id="rId36"/>
        </w:object>
      </w:r>
      <w:r>
        <w:rPr>
          <w:rFonts w:cs="Times New Roman"/>
        </w:rPr>
        <w:t xml:space="preserve"> and the </w:t>
      </w:r>
      <w:r>
        <w:rPr>
          <w:rFonts w:cs="Times New Roman"/>
          <w:position w:val="-16"/>
        </w:rPr>
        <w:object w:dxaOrig="1646" w:dyaOrig="360" w14:anchorId="2FB95FDB">
          <v:shape id="_x0000_i1045" type="#_x0000_t75" style="width:82.4pt;height:18.1pt" o:ole="">
            <v:imagedata r:id="rId37" o:title=""/>
          </v:shape>
          <o:OLEObject Type="Embed" ProgID="Equation.DSMT4" ShapeID="_x0000_i1045" DrawAspect="Content" ObjectID="_1634801182" r:id="rId38"/>
        </w:object>
      </w:r>
      <w:r>
        <w:rPr>
          <w:rFonts w:cs="Times New Roman"/>
        </w:rPr>
        <w:t xml:space="preserve"> highest priority bits of bitmap</w:t>
      </w:r>
      <w:r>
        <w:rPr>
          <w:rFonts w:cs="Times New Roman"/>
          <w:position w:val="-14"/>
        </w:rPr>
        <w:object w:dxaOrig="391" w:dyaOrig="381" w14:anchorId="759F325E">
          <v:shape id="_x0000_i1046" type="#_x0000_t75" style="width:19.65pt;height:18.85pt" o:ole="">
            <v:imagedata r:id="rId32" o:title=""/>
          </v:shape>
          <o:OLEObject Type="Embed" ProgID="Equation.DSMT4" ShapeID="_x0000_i1046" DrawAspect="Content" ObjectID="_1634801183" r:id="rId39"/>
        </w:object>
      </w:r>
    </w:p>
    <w:p w14:paraId="79A763F5" w14:textId="77777777" w:rsidR="00303681" w:rsidRDefault="00BC1AE1">
      <w:pPr>
        <w:pStyle w:val="Style10"/>
        <w:numPr>
          <w:ilvl w:val="0"/>
          <w:numId w:val="11"/>
        </w:numPr>
        <w:spacing w:after="0" w:line="240" w:lineRule="auto"/>
        <w:rPr>
          <w:rFonts w:cs="Times New Roman"/>
        </w:rPr>
      </w:pPr>
      <w:r>
        <w:rPr>
          <w:rFonts w:cs="Times New Roman"/>
        </w:rPr>
        <w:t>G</w:t>
      </w:r>
      <w:r>
        <w:rPr>
          <w:rFonts w:cs="Times New Roman"/>
          <w:vertAlign w:val="subscript"/>
        </w:rPr>
        <w:t xml:space="preserve">2 </w:t>
      </w:r>
      <w:r>
        <w:rPr>
          <w:rFonts w:cs="Times New Roman"/>
        </w:rPr>
        <w:t xml:space="preserve">comprising the </w:t>
      </w:r>
      <w:r>
        <w:rPr>
          <w:rFonts w:cs="Times New Roman"/>
          <w:position w:val="-16"/>
        </w:rPr>
        <w:object w:dxaOrig="875" w:dyaOrig="370" w14:anchorId="775C29DF">
          <v:shape id="_x0000_i1047" type="#_x0000_t75" style="width:43.9pt;height:18.5pt" o:ole="">
            <v:imagedata r:id="rId40" o:title=""/>
          </v:shape>
          <o:OLEObject Type="Embed" ProgID="Equation.DSMT4" ShapeID="_x0000_i1047" DrawAspect="Content" ObjectID="_1634801184" r:id="rId41"/>
        </w:object>
      </w:r>
      <w:r>
        <w:rPr>
          <w:rFonts w:cs="Times New Roman"/>
        </w:rPr>
        <w:t xml:space="preserve"> lowest priority non-zero LC coefficients </w:t>
      </w:r>
      <w:r>
        <w:rPr>
          <w:rFonts w:cs="Times New Roman"/>
          <w:position w:val="-14"/>
        </w:rPr>
        <w:object w:dxaOrig="391" w:dyaOrig="411" w14:anchorId="25BF353E">
          <v:shape id="_x0000_i1048" type="#_x0000_t75" style="width:19.65pt;height:20.8pt" o:ole="">
            <v:imagedata r:id="rId30" o:title=""/>
          </v:shape>
          <o:OLEObject Type="Embed" ProgID="Equation.DSMT4" ShapeID="_x0000_i1048" DrawAspect="Content" ObjectID="_1634801185" r:id="rId42"/>
        </w:object>
      </w:r>
      <w:r>
        <w:rPr>
          <w:rFonts w:cs="Times New Roman"/>
        </w:rPr>
        <w:t xml:space="preserve"> and the </w:t>
      </w:r>
      <w:r>
        <w:rPr>
          <w:rFonts w:cs="Times New Roman"/>
          <w:position w:val="-16"/>
        </w:rPr>
        <w:object w:dxaOrig="843" w:dyaOrig="360" w14:anchorId="336A4E49">
          <v:shape id="_x0000_i1049" type="#_x0000_t75" style="width:41.95pt;height:18.1pt" o:ole="">
            <v:imagedata r:id="rId40" o:title=""/>
          </v:shape>
          <o:OLEObject Type="Embed" ProgID="Equation.DSMT4" ShapeID="_x0000_i1049" DrawAspect="Content" ObjectID="_1634801186" r:id="rId43"/>
        </w:object>
      </w:r>
      <w:r>
        <w:rPr>
          <w:rFonts w:cs="Times New Roman"/>
        </w:rPr>
        <w:t xml:space="preserve"> lowest priority bits of bitmap</w:t>
      </w:r>
      <w:r>
        <w:rPr>
          <w:rFonts w:cs="Times New Roman"/>
          <w:position w:val="-14"/>
        </w:rPr>
        <w:object w:dxaOrig="391" w:dyaOrig="381" w14:anchorId="104A1A4B">
          <v:shape id="_x0000_i1050" type="#_x0000_t75" style="width:19.65pt;height:18.85pt" o:ole="">
            <v:imagedata r:id="rId32" o:title=""/>
          </v:shape>
          <o:OLEObject Type="Embed" ProgID="Equation.DSMT4" ShapeID="_x0000_i1050" DrawAspect="Content" ObjectID="_1634801187" r:id="rId44"/>
        </w:object>
      </w:r>
      <w:r>
        <w:rPr>
          <w:rFonts w:cs="Times New Roman"/>
        </w:rPr>
        <w:t xml:space="preserve"> </w:t>
      </w:r>
    </w:p>
    <w:p w14:paraId="25B2AAC3" w14:textId="77777777" w:rsidR="00303681" w:rsidRDefault="00BC1AE1">
      <w:pPr>
        <w:pStyle w:val="Style10"/>
        <w:numPr>
          <w:ilvl w:val="0"/>
          <w:numId w:val="11"/>
        </w:numPr>
        <w:spacing w:after="0" w:line="240" w:lineRule="auto"/>
        <w:rPr>
          <w:rFonts w:cs="Times New Roman"/>
        </w:rPr>
      </w:pPr>
      <w:r>
        <w:rPr>
          <w:rFonts w:cs="Times New Roman"/>
        </w:rPr>
        <w:t xml:space="preserve">The priority level is calculated as </w:t>
      </w:r>
      <w:proofErr w:type="spellStart"/>
      <w:r>
        <w:rPr>
          <w:rFonts w:cs="Times New Roman"/>
        </w:rPr>
        <w:t>Prio</w:t>
      </w:r>
      <w:proofErr w:type="spellEnd"/>
      <w:r>
        <w:rPr>
          <w:rFonts w:cs="Times New Roman"/>
        </w:rPr>
        <w:t>(</w:t>
      </w:r>
      <w:r>
        <w:rPr>
          <w:rFonts w:cs="Times New Roman"/>
          <w:lang w:val="en-US"/>
        </w:rPr>
        <w:t>λ</w:t>
      </w:r>
      <w:r>
        <w:rPr>
          <w:rFonts w:cs="Times New Roman"/>
        </w:rPr>
        <w:t>,</w:t>
      </w:r>
      <w:proofErr w:type="spellStart"/>
      <w:r>
        <w:rPr>
          <w:rFonts w:cs="Times New Roman"/>
        </w:rPr>
        <w:t>l,m</w:t>
      </w:r>
      <w:proofErr w:type="spellEnd"/>
      <w:r>
        <w:rPr>
          <w:rFonts w:cs="Times New Roman"/>
        </w:rPr>
        <w:t>)=2L.RI.P(m)+</w:t>
      </w:r>
      <w:proofErr w:type="spellStart"/>
      <w:r>
        <w:rPr>
          <w:rFonts w:cs="Times New Roman"/>
        </w:rPr>
        <w:t>RI.l</w:t>
      </w:r>
      <w:proofErr w:type="spellEnd"/>
      <w:r>
        <w:rPr>
          <w:rFonts w:cs="Times New Roman"/>
        </w:rPr>
        <w:t>+</w:t>
      </w:r>
      <w:r>
        <w:rPr>
          <w:rFonts w:cs="Times New Roman"/>
          <w:lang w:val="en-US"/>
        </w:rPr>
        <w:t>λ</w:t>
      </w:r>
      <w:r>
        <w:rPr>
          <w:rFonts w:eastAsia="宋体" w:cs="Times New Roman" w:hint="eastAsia"/>
          <w:lang w:val="en-US" w:eastAsia="zh-CN"/>
        </w:rPr>
        <w:t xml:space="preserve"> </w:t>
      </w:r>
      <w:r>
        <w:rPr>
          <w:rFonts w:cs="Times New Roman"/>
        </w:rPr>
        <w:t>where P(m) maps the index m according to the following order of the corresponding FD components (if selected): 0, N</w:t>
      </w:r>
      <w:r>
        <w:rPr>
          <w:rFonts w:cs="Times New Roman"/>
          <w:vertAlign w:val="subscript"/>
        </w:rPr>
        <w:t>3</w:t>
      </w:r>
      <w:r>
        <w:rPr>
          <w:rFonts w:cs="Times New Roman"/>
        </w:rPr>
        <w:t>-1, 1, N</w:t>
      </w:r>
      <w:r>
        <w:rPr>
          <w:rFonts w:cs="Times New Roman"/>
          <w:vertAlign w:val="subscript"/>
        </w:rPr>
        <w:t>3</w:t>
      </w:r>
      <w:r>
        <w:rPr>
          <w:rFonts w:cs="Times New Roman"/>
        </w:rPr>
        <w:t xml:space="preserve">-2, 2, .... </w:t>
      </w:r>
    </w:p>
    <w:p w14:paraId="524DBEF3" w14:textId="77777777" w:rsidR="00303681" w:rsidRDefault="00BC1AE1">
      <w:pPr>
        <w:widowControl w:val="0"/>
        <w:snapToGrid w:val="0"/>
        <w:spacing w:after="0" w:line="240" w:lineRule="auto"/>
        <w:jc w:val="both"/>
        <w:rPr>
          <w:rFonts w:eastAsia="微软雅黑"/>
          <w:sz w:val="20"/>
          <w:szCs w:val="20"/>
          <w:lang w:val="en-GB"/>
        </w:rPr>
      </w:pPr>
      <w:r>
        <w:rPr>
          <w:rFonts w:eastAsia="微软雅黑" w:hint="eastAsia"/>
          <w:sz w:val="20"/>
          <w:szCs w:val="20"/>
          <w:lang w:val="en-GB"/>
        </w:rPr>
        <w:t xml:space="preserve">In this contribution, we </w:t>
      </w:r>
      <w:r>
        <w:rPr>
          <w:rFonts w:eastAsia="微软雅黑" w:hint="eastAsia"/>
          <w:sz w:val="20"/>
          <w:szCs w:val="20"/>
        </w:rPr>
        <w:t>will put</w:t>
      </w:r>
      <w:r>
        <w:rPr>
          <w:rFonts w:eastAsia="微软雅黑" w:hint="eastAsia"/>
          <w:sz w:val="20"/>
          <w:szCs w:val="20"/>
          <w:lang w:val="en-GB"/>
        </w:rPr>
        <w:t xml:space="preserve"> our views on the</w:t>
      </w:r>
      <w:r>
        <w:rPr>
          <w:rFonts w:eastAsia="微软雅黑"/>
          <w:sz w:val="20"/>
          <w:szCs w:val="20"/>
          <w:lang w:val="en-GB"/>
        </w:rPr>
        <w:t xml:space="preserve"> remaining </w:t>
      </w:r>
      <w:r>
        <w:rPr>
          <w:rFonts w:eastAsia="微软雅黑" w:hint="eastAsia"/>
          <w:sz w:val="20"/>
          <w:szCs w:val="20"/>
        </w:rPr>
        <w:t>issues</w:t>
      </w:r>
      <w:r>
        <w:rPr>
          <w:rFonts w:eastAsia="微软雅黑"/>
          <w:sz w:val="20"/>
          <w:szCs w:val="20"/>
          <w:lang w:val="en-GB"/>
        </w:rPr>
        <w:t xml:space="preserve"> of</w:t>
      </w:r>
      <w:r>
        <w:rPr>
          <w:rFonts w:eastAsia="微软雅黑" w:hint="eastAsia"/>
          <w:sz w:val="20"/>
          <w:szCs w:val="20"/>
          <w:lang w:val="en-GB"/>
        </w:rPr>
        <w:t xml:space="preserve"> Type II CSI enhancements </w:t>
      </w:r>
      <w:r>
        <w:rPr>
          <w:rFonts w:eastAsia="微软雅黑"/>
          <w:sz w:val="20"/>
          <w:szCs w:val="20"/>
          <w:lang w:val="en-GB"/>
        </w:rPr>
        <w:t>for</w:t>
      </w:r>
      <w:r>
        <w:rPr>
          <w:rFonts w:eastAsia="微软雅黑" w:hint="eastAsia"/>
          <w:sz w:val="20"/>
          <w:szCs w:val="20"/>
          <w:lang w:val="en-GB"/>
        </w:rPr>
        <w:t xml:space="preserve"> MU-MIMO.</w:t>
      </w:r>
    </w:p>
    <w:p w14:paraId="0BA34E64" w14:textId="77777777" w:rsidR="00303681" w:rsidRDefault="00BC1AE1">
      <w:pPr>
        <w:pStyle w:val="Heading1"/>
        <w:tabs>
          <w:tab w:val="clear" w:pos="432"/>
        </w:tabs>
        <w:snapToGrid w:val="0"/>
        <w:spacing w:before="120" w:afterLines="50" w:after="120"/>
        <w:ind w:left="431" w:hanging="431"/>
        <w:rPr>
          <w:sz w:val="28"/>
          <w:lang w:val="en-US"/>
        </w:rPr>
      </w:pPr>
      <w:r>
        <w:rPr>
          <w:rFonts w:hint="eastAsia"/>
          <w:sz w:val="28"/>
          <w:lang w:val="en-US"/>
        </w:rPr>
        <w:t xml:space="preserve"> DFT based compression scheme for Type II codebook </w:t>
      </w:r>
    </w:p>
    <w:p w14:paraId="13030B34" w14:textId="77777777" w:rsidR="00303681" w:rsidRDefault="00BC1AE1">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Since we have almost finished the design of Rel-16 </w:t>
      </w:r>
      <w:r>
        <w:rPr>
          <w:rFonts w:eastAsia="微软雅黑"/>
          <w:sz w:val="20"/>
          <w:szCs w:val="20"/>
        </w:rPr>
        <w:t>T</w:t>
      </w:r>
      <w:r>
        <w:rPr>
          <w:rFonts w:eastAsia="微软雅黑" w:hint="eastAsia"/>
          <w:sz w:val="20"/>
          <w:szCs w:val="20"/>
        </w:rPr>
        <w:t>ype II codebook, there are only some remaining issues need to be further discussed:</w:t>
      </w:r>
    </w:p>
    <w:p w14:paraId="76D17831" w14:textId="77777777" w:rsidR="00303681" w:rsidRDefault="00BC1AE1">
      <w:pPr>
        <w:pStyle w:val="ListParagraph"/>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UE capability on the number of PMI sub-bands</w:t>
      </w:r>
    </w:p>
    <w:p w14:paraId="5CFCF9BE" w14:textId="77777777" w:rsidR="00303681" w:rsidRDefault="00BC1AE1">
      <w:pPr>
        <w:pStyle w:val="ListParagraph"/>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 xml:space="preserve">UE capability for rank 3 and 4 </w:t>
      </w:r>
    </w:p>
    <w:p w14:paraId="7005D74C" w14:textId="77777777" w:rsidR="00303681" w:rsidRDefault="00BC1AE1">
      <w:pPr>
        <w:pStyle w:val="ListParagraph"/>
        <w:widowControl w:val="0"/>
        <w:numPr>
          <w:ilvl w:val="0"/>
          <w:numId w:val="12"/>
        </w:numPr>
        <w:snapToGrid w:val="0"/>
        <w:spacing w:before="120" w:afterLines="50" w:after="120" w:line="240" w:lineRule="auto"/>
        <w:ind w:firstLineChars="0"/>
        <w:jc w:val="both"/>
        <w:rPr>
          <w:rFonts w:eastAsia="微软雅黑"/>
          <w:sz w:val="20"/>
          <w:szCs w:val="20"/>
        </w:rPr>
      </w:pPr>
      <w:r w:rsidRPr="00153849">
        <w:rPr>
          <w:rFonts w:eastAsia="微软雅黑"/>
          <w:sz w:val="20"/>
          <w:szCs w:val="20"/>
        </w:rPr>
        <w:t>UE capability for concurrent codebooks</w:t>
      </w:r>
    </w:p>
    <w:p w14:paraId="2B216051" w14:textId="77777777" w:rsidR="00303681" w:rsidRDefault="00BC1AE1">
      <w:pPr>
        <w:pStyle w:val="ListParagraph"/>
        <w:widowControl w:val="0"/>
        <w:numPr>
          <w:ilvl w:val="0"/>
          <w:numId w:val="12"/>
        </w:numPr>
        <w:snapToGrid w:val="0"/>
        <w:spacing w:before="120" w:afterLines="50" w:after="120" w:line="240" w:lineRule="auto"/>
        <w:ind w:firstLineChars="0"/>
        <w:jc w:val="both"/>
        <w:rPr>
          <w:rFonts w:eastAsia="微软雅黑"/>
          <w:sz w:val="20"/>
          <w:szCs w:val="20"/>
        </w:rPr>
      </w:pPr>
      <w:bookmarkStart w:id="6" w:name="OLE_LINK1"/>
      <w:r>
        <w:rPr>
          <w:rFonts w:eastAsia="微软雅黑" w:hint="eastAsia"/>
          <w:sz w:val="20"/>
          <w:szCs w:val="20"/>
        </w:rPr>
        <w:t>CBSR description</w:t>
      </w:r>
    </w:p>
    <w:bookmarkEnd w:id="6"/>
    <w:p w14:paraId="3A78D7DF" w14:textId="77777777" w:rsidR="00303681" w:rsidRDefault="00BC1AE1">
      <w:pPr>
        <w:pStyle w:val="Heading2"/>
        <w:spacing w:before="120" w:afterLines="50" w:after="120" w:line="240" w:lineRule="auto"/>
        <w:ind w:left="573" w:hanging="573"/>
        <w:rPr>
          <w:sz w:val="24"/>
          <w:szCs w:val="24"/>
        </w:rPr>
      </w:pPr>
      <w:r>
        <w:rPr>
          <w:rFonts w:hint="eastAsia"/>
          <w:sz w:val="24"/>
          <w:szCs w:val="24"/>
        </w:rPr>
        <w:t>UE capability on the number of PMI sub-bands</w:t>
      </w:r>
    </w:p>
    <w:p w14:paraId="48FE54B0" w14:textId="77777777" w:rsidR="00303681" w:rsidRDefault="00BC1AE1">
      <w:pPr>
        <w:widowControl w:val="0"/>
        <w:snapToGrid w:val="0"/>
        <w:spacing w:before="120" w:afterLines="50" w:after="120" w:line="240" w:lineRule="auto"/>
        <w:jc w:val="both"/>
        <w:rPr>
          <w:rFonts w:eastAsia="微软雅黑"/>
          <w:sz w:val="20"/>
          <w:szCs w:val="20"/>
          <w:lang w:eastAsia="ko-KR"/>
        </w:rPr>
      </w:pPr>
      <w:r>
        <w:rPr>
          <w:rFonts w:eastAsia="微软雅黑"/>
          <w:sz w:val="20"/>
          <w:szCs w:val="20"/>
        </w:rPr>
        <w:t>To address the issue of UE complexity caused by large number of PMI sub-bands, t</w:t>
      </w:r>
      <w:r>
        <w:rPr>
          <w:rFonts w:eastAsia="微软雅黑" w:hint="eastAsia"/>
          <w:sz w:val="20"/>
          <w:szCs w:val="20"/>
        </w:rPr>
        <w:t>he following</w:t>
      </w:r>
      <w:r>
        <w:rPr>
          <w:rFonts w:eastAsia="微软雅黑"/>
          <w:sz w:val="20"/>
          <w:szCs w:val="20"/>
        </w:rPr>
        <w:t xml:space="preserve"> alternatives</w:t>
      </w:r>
      <w:r>
        <w:rPr>
          <w:rFonts w:eastAsia="微软雅黑" w:hint="eastAsia"/>
          <w:sz w:val="20"/>
          <w:szCs w:val="20"/>
        </w:rPr>
        <w:t xml:space="preserve"> </w:t>
      </w:r>
      <w:r>
        <w:rPr>
          <w:rFonts w:eastAsia="微软雅黑"/>
          <w:sz w:val="20"/>
          <w:szCs w:val="20"/>
        </w:rPr>
        <w:t>were</w:t>
      </w:r>
      <w:r>
        <w:rPr>
          <w:rFonts w:eastAsia="微软雅黑" w:hint="eastAsia"/>
          <w:sz w:val="20"/>
          <w:szCs w:val="20"/>
        </w:rPr>
        <w:t xml:space="preserve"> discussed in the email discussion about the UE capability on the number of PMI sub-bands.</w:t>
      </w:r>
      <w:r>
        <w:rPr>
          <w:rFonts w:eastAsia="微软雅黑"/>
          <w:sz w:val="20"/>
          <w:szCs w:val="20"/>
        </w:rPr>
        <w:t xml:space="preserve"> </w:t>
      </w:r>
    </w:p>
    <w:p w14:paraId="08FC1F55" w14:textId="3D8DFFD0" w:rsidR="00303681" w:rsidRDefault="00BC1AE1">
      <w:pPr>
        <w:widowControl w:val="0"/>
        <w:snapToGrid w:val="0"/>
        <w:spacing w:before="120" w:afterLines="50" w:after="120" w:line="240" w:lineRule="auto"/>
        <w:ind w:leftChars="100" w:left="220"/>
        <w:jc w:val="both"/>
        <w:rPr>
          <w:rFonts w:eastAsia="微软雅黑"/>
          <w:sz w:val="20"/>
          <w:szCs w:val="20"/>
        </w:rPr>
      </w:pPr>
      <w:r>
        <w:rPr>
          <w:rFonts w:eastAsia="微软雅黑" w:hint="eastAsia"/>
          <w:sz w:val="20"/>
          <w:szCs w:val="20"/>
        </w:rPr>
        <w:t xml:space="preserve">Alt </w:t>
      </w:r>
      <w:r w:rsidR="00AC2140">
        <w:rPr>
          <w:rFonts w:eastAsia="微软雅黑"/>
          <w:sz w:val="20"/>
          <w:szCs w:val="20"/>
        </w:rPr>
        <w:t>2</w:t>
      </w:r>
      <w:r>
        <w:rPr>
          <w:rFonts w:eastAsia="微软雅黑" w:hint="eastAsia"/>
          <w:sz w:val="20"/>
          <w:szCs w:val="20"/>
        </w:rPr>
        <w:t>:</w:t>
      </w:r>
      <w:r>
        <w:rPr>
          <w:rFonts w:eastAsia="微软雅黑"/>
          <w:sz w:val="20"/>
          <w:szCs w:val="20"/>
        </w:rPr>
        <w:t xml:space="preserve"> </w:t>
      </w:r>
      <w:r>
        <w:rPr>
          <w:rFonts w:eastAsia="微软雅黑" w:hint="eastAsia"/>
          <w:sz w:val="20"/>
          <w:szCs w:val="20"/>
        </w:rPr>
        <w:t>Mandatory for N</w:t>
      </w:r>
      <w:r>
        <w:rPr>
          <w:rFonts w:eastAsia="微软雅黑" w:hint="eastAsia"/>
          <w:sz w:val="20"/>
          <w:szCs w:val="20"/>
          <w:vertAlign w:val="subscript"/>
        </w:rPr>
        <w:t>3</w:t>
      </w:r>
      <w:r>
        <w:rPr>
          <w:rFonts w:eastAsia="微软雅黑" w:hint="eastAsia"/>
          <w:sz w:val="20"/>
          <w:szCs w:val="20"/>
        </w:rPr>
        <w:t>&lt;=19, optional for N</w:t>
      </w:r>
      <w:r>
        <w:rPr>
          <w:rFonts w:eastAsia="微软雅黑" w:hint="eastAsia"/>
          <w:sz w:val="20"/>
          <w:szCs w:val="20"/>
          <w:vertAlign w:val="subscript"/>
        </w:rPr>
        <w:t>3</w:t>
      </w:r>
      <w:r>
        <w:rPr>
          <w:rFonts w:eastAsia="微软雅黑" w:hint="eastAsia"/>
          <w:sz w:val="20"/>
          <w:szCs w:val="20"/>
        </w:rPr>
        <w:t>&gt;19.</w:t>
      </w:r>
    </w:p>
    <w:p w14:paraId="4B4ABCA5" w14:textId="0B9BAC3A" w:rsidR="00303681" w:rsidRDefault="00BC1AE1">
      <w:pPr>
        <w:widowControl w:val="0"/>
        <w:snapToGrid w:val="0"/>
        <w:spacing w:before="120" w:afterLines="50" w:after="120" w:line="240" w:lineRule="auto"/>
        <w:ind w:leftChars="100" w:left="220"/>
        <w:jc w:val="both"/>
        <w:rPr>
          <w:rFonts w:eastAsia="微软雅黑"/>
          <w:sz w:val="20"/>
          <w:szCs w:val="20"/>
        </w:rPr>
      </w:pPr>
      <w:r>
        <w:rPr>
          <w:rFonts w:eastAsia="微软雅黑" w:hint="eastAsia"/>
          <w:sz w:val="20"/>
          <w:szCs w:val="20"/>
        </w:rPr>
        <w:t xml:space="preserve">Alt </w:t>
      </w:r>
      <w:r w:rsidR="00AC2140">
        <w:rPr>
          <w:rFonts w:eastAsia="微软雅黑"/>
          <w:sz w:val="20"/>
          <w:szCs w:val="20"/>
        </w:rPr>
        <w:t>3</w:t>
      </w:r>
      <w:r>
        <w:rPr>
          <w:rFonts w:eastAsia="微软雅黑" w:hint="eastAsia"/>
          <w:sz w:val="20"/>
          <w:szCs w:val="20"/>
        </w:rPr>
        <w:t>:</w:t>
      </w:r>
      <w:r>
        <w:rPr>
          <w:rFonts w:eastAsia="微软雅黑"/>
          <w:sz w:val="20"/>
          <w:szCs w:val="20"/>
        </w:rPr>
        <w:t xml:space="preserve"> </w:t>
      </w:r>
      <w:r>
        <w:rPr>
          <w:rFonts w:eastAsia="微软雅黑" w:hint="eastAsia"/>
          <w:sz w:val="20"/>
          <w:szCs w:val="20"/>
        </w:rPr>
        <w:t>Mandatory for R=1, optional for R=2.</w:t>
      </w:r>
    </w:p>
    <w:p w14:paraId="1BE5D8C5" w14:textId="77777777" w:rsidR="00303681" w:rsidRDefault="00BC1AE1">
      <w:pPr>
        <w:pStyle w:val="Style10"/>
        <w:widowControl w:val="0"/>
        <w:spacing w:after="120" w:line="240" w:lineRule="auto"/>
        <w:ind w:firstLine="0"/>
        <w:rPr>
          <w:rFonts w:eastAsia="微软雅黑" w:cs="Times New Roman"/>
          <w:lang w:val="en-US" w:eastAsia="zh-CN"/>
        </w:rPr>
      </w:pPr>
      <w:r>
        <w:rPr>
          <w:rFonts w:eastAsia="微软雅黑" w:cs="Times New Roman" w:hint="eastAsia"/>
          <w:lang w:val="en-US" w:eastAsia="zh-CN"/>
        </w:rPr>
        <w:t>The</w:t>
      </w:r>
      <w:r>
        <w:rPr>
          <w:rFonts w:eastAsia="微软雅黑" w:cs="Times New Roman"/>
          <w:lang w:val="en-US" w:eastAsia="zh-CN"/>
        </w:rPr>
        <w:t xml:space="preserve"> UE complexity on supporting large number of N</w:t>
      </w:r>
      <w:r>
        <w:rPr>
          <w:rFonts w:eastAsia="微软雅黑" w:cs="Times New Roman"/>
          <w:vertAlign w:val="subscript"/>
          <w:lang w:val="en-US" w:eastAsia="zh-CN"/>
        </w:rPr>
        <w:t>3</w:t>
      </w:r>
      <w:r>
        <w:rPr>
          <w:rFonts w:eastAsia="微软雅黑" w:cs="Times New Roman"/>
          <w:lang w:val="en-US" w:eastAsia="zh-CN"/>
        </w:rPr>
        <w:t xml:space="preserve"> is caused by the hardware (e.g., computation complexity</w:t>
      </w:r>
      <w:r>
        <w:rPr>
          <w:rFonts w:eastAsia="微软雅黑" w:cs="Times New Roman" w:hint="eastAsia"/>
          <w:lang w:val="en-US" w:eastAsia="zh-CN"/>
        </w:rPr>
        <w:t xml:space="preserve"> and </w:t>
      </w:r>
      <w:r>
        <w:rPr>
          <w:rFonts w:eastAsia="微软雅黑" w:cs="Times New Roman"/>
          <w:lang w:val="en-US" w:eastAsia="zh-CN"/>
        </w:rPr>
        <w:lastRenderedPageBreak/>
        <w:t>buffering) limit</w:t>
      </w:r>
      <w:r>
        <w:rPr>
          <w:rFonts w:eastAsia="微软雅黑" w:cs="Times New Roman" w:hint="eastAsia"/>
          <w:lang w:val="en-US" w:eastAsia="zh-CN"/>
        </w:rPr>
        <w:t>s</w:t>
      </w:r>
      <w:r>
        <w:rPr>
          <w:rFonts w:eastAsia="微软雅黑" w:cs="Times New Roman"/>
          <w:lang w:val="en-US" w:eastAsia="zh-CN"/>
        </w:rPr>
        <w:t xml:space="preserve">. </w:t>
      </w:r>
    </w:p>
    <w:p w14:paraId="5BB9AD85" w14:textId="77777777" w:rsidR="00303681" w:rsidRDefault="00BC1AE1">
      <w:pPr>
        <w:pStyle w:val="Style10"/>
        <w:widowControl w:val="0"/>
        <w:numPr>
          <w:ilvl w:val="0"/>
          <w:numId w:val="13"/>
        </w:numPr>
        <w:spacing w:after="120" w:line="240" w:lineRule="auto"/>
        <w:rPr>
          <w:rFonts w:eastAsia="微软雅黑" w:cs="Times New Roman"/>
          <w:lang w:val="en-US" w:eastAsia="zh-CN"/>
        </w:rPr>
      </w:pPr>
      <w:r>
        <w:rPr>
          <w:rFonts w:eastAsia="微软雅黑" w:cs="Times New Roman"/>
          <w:lang w:val="en-US" w:eastAsia="zh-CN"/>
        </w:rPr>
        <w:t xml:space="preserve">Since Rel-15 sub-band reporting has already required 19 </w:t>
      </w:r>
      <w:r>
        <w:rPr>
          <w:rFonts w:eastAsia="微软雅黑" w:cs="Times New Roman" w:hint="eastAsia"/>
          <w:lang w:val="en-US" w:eastAsia="zh-CN"/>
        </w:rPr>
        <w:t>sub-band</w:t>
      </w:r>
      <w:r>
        <w:rPr>
          <w:rFonts w:eastAsia="微软雅黑" w:cs="Times New Roman"/>
          <w:lang w:val="en-US" w:eastAsia="zh-CN"/>
        </w:rPr>
        <w:t>s, supporting N</w:t>
      </w:r>
      <w:r>
        <w:rPr>
          <w:rFonts w:eastAsia="微软雅黑" w:cs="Times New Roman"/>
          <w:vertAlign w:val="subscript"/>
          <w:lang w:val="en-US" w:eastAsia="zh-CN"/>
        </w:rPr>
        <w:t>3</w:t>
      </w:r>
      <w:r>
        <w:rPr>
          <w:rFonts w:eastAsia="微软雅黑" w:cs="Times New Roman"/>
          <w:lang w:val="en-US" w:eastAsia="zh-CN"/>
        </w:rPr>
        <w:t xml:space="preserve"> &lt;= 19 now should have no extra UE complexity compared with what we already have for Rel-15 commercial UEs. Further</w:t>
      </w:r>
      <w:r>
        <w:rPr>
          <w:rFonts w:eastAsia="微软雅黑" w:cs="Times New Roman" w:hint="eastAsia"/>
          <w:lang w:val="en-US" w:eastAsia="zh-CN"/>
        </w:rPr>
        <w:t>more</w:t>
      </w:r>
      <w:r>
        <w:rPr>
          <w:rFonts w:eastAsia="微软雅黑" w:cs="Times New Roman"/>
          <w:lang w:val="en-US" w:eastAsia="zh-CN"/>
        </w:rPr>
        <w:t>, for N</w:t>
      </w:r>
      <w:r>
        <w:rPr>
          <w:rFonts w:eastAsia="微软雅黑" w:cs="Times New Roman"/>
          <w:vertAlign w:val="subscript"/>
          <w:lang w:val="en-US" w:eastAsia="zh-CN"/>
        </w:rPr>
        <w:t>3</w:t>
      </w:r>
      <w:r>
        <w:rPr>
          <w:rFonts w:eastAsia="微软雅黑" w:cs="Times New Roman"/>
          <w:lang w:val="en-US" w:eastAsia="zh-CN"/>
        </w:rPr>
        <w:t xml:space="preserve">&lt;=19, NW can still realize the performance gain from R=2 for </w:t>
      </w:r>
      <w:r>
        <w:rPr>
          <w:rFonts w:eastAsia="微软雅黑" w:cs="Times New Roman" w:hint="eastAsia"/>
          <w:lang w:val="en-US" w:eastAsia="zh-CN"/>
        </w:rPr>
        <w:t>CQI sub-band</w:t>
      </w:r>
      <w:r>
        <w:rPr>
          <w:rFonts w:eastAsia="微软雅黑" w:cs="Times New Roman"/>
          <w:lang w:val="en-US" w:eastAsia="zh-CN"/>
        </w:rPr>
        <w:t xml:space="preserve"> </w:t>
      </w:r>
      <w:r>
        <w:rPr>
          <w:rFonts w:eastAsia="微软雅黑" w:cs="Times New Roman" w:hint="eastAsia"/>
          <w:lang w:val="en-US" w:eastAsia="zh-CN"/>
        </w:rPr>
        <w:t>number</w:t>
      </w:r>
      <w:r>
        <w:rPr>
          <w:rFonts w:eastAsia="微软雅黑" w:cs="Times New Roman"/>
          <w:lang w:val="en-US" w:eastAsia="zh-CN"/>
        </w:rPr>
        <w:t xml:space="preserve"> &lt; 10. </w:t>
      </w:r>
      <w:r>
        <w:rPr>
          <w:rFonts w:eastAsia="微软雅黑" w:cs="Times New Roman" w:hint="eastAsia"/>
          <w:lang w:val="en-US" w:eastAsia="zh-CN"/>
        </w:rPr>
        <w:t xml:space="preserve">Especially for large CQI sub-band size </w:t>
      </w:r>
      <w:proofErr w:type="gramStart"/>
      <w:r>
        <w:rPr>
          <w:rFonts w:eastAsia="微软雅黑" w:cs="Times New Roman" w:hint="eastAsia"/>
          <w:lang w:val="en-US" w:eastAsia="zh-CN"/>
        </w:rPr>
        <w:t>cases(</w:t>
      </w:r>
      <w:proofErr w:type="gramEnd"/>
      <w:r>
        <w:rPr>
          <w:rFonts w:eastAsia="微软雅黑" w:cs="Times New Roman" w:hint="eastAsia"/>
          <w:lang w:val="en-US" w:eastAsia="zh-CN"/>
        </w:rPr>
        <w:t xml:space="preserve">e.g. 16 and 32), which may not need to configure more than 10 CQI sub-bands, allowing R=2 configuration will significantly improve compression efficiency. </w:t>
      </w:r>
      <w:r>
        <w:rPr>
          <w:rFonts w:eastAsia="微软雅黑" w:cs="Times New Roman"/>
          <w:lang w:val="en-US" w:eastAsia="zh-CN"/>
        </w:rPr>
        <w:t>Hence to make N</w:t>
      </w:r>
      <w:r>
        <w:rPr>
          <w:rFonts w:eastAsia="微软雅黑" w:cs="Times New Roman"/>
          <w:vertAlign w:val="subscript"/>
          <w:lang w:val="en-US" w:eastAsia="zh-CN"/>
        </w:rPr>
        <w:t>3</w:t>
      </w:r>
      <w:r>
        <w:rPr>
          <w:rFonts w:eastAsia="微软雅黑" w:cs="Times New Roman"/>
          <w:lang w:val="en-US" w:eastAsia="zh-CN"/>
        </w:rPr>
        <w:t>&lt;=19 mandatory will make the best utilization of current UE hardware resource limit</w:t>
      </w:r>
      <w:r>
        <w:rPr>
          <w:rFonts w:eastAsia="微软雅黑" w:cs="Times New Roman" w:hint="eastAsia"/>
          <w:lang w:val="en-US" w:eastAsia="zh-CN"/>
        </w:rPr>
        <w:t>s and allow more NW flexibility for small CQI sub-band number.</w:t>
      </w:r>
    </w:p>
    <w:p w14:paraId="7D42AABE" w14:textId="77777777" w:rsidR="00303681" w:rsidRDefault="00BC1AE1">
      <w:pPr>
        <w:pStyle w:val="Style10"/>
        <w:widowControl w:val="0"/>
        <w:numPr>
          <w:ilvl w:val="0"/>
          <w:numId w:val="14"/>
        </w:numPr>
        <w:spacing w:after="120" w:line="240" w:lineRule="auto"/>
        <w:rPr>
          <w:rFonts w:eastAsia="微软雅黑" w:cs="Times New Roman"/>
          <w:lang w:val="en-US" w:eastAsia="zh-CN"/>
        </w:rPr>
      </w:pPr>
      <w:r>
        <w:rPr>
          <w:rFonts w:eastAsia="微软雅黑" w:cs="Times New Roman"/>
          <w:lang w:val="en-US" w:eastAsia="zh-CN"/>
        </w:rPr>
        <w:t xml:space="preserve">For N3&gt;19, we can depend on UE capability signaling to further realize the performance gain of R=2 for large bandwidth in future. </w:t>
      </w:r>
    </w:p>
    <w:p w14:paraId="019D3CA7" w14:textId="13F9D882" w:rsidR="00303681" w:rsidRDefault="00BC1AE1">
      <w:pPr>
        <w:pStyle w:val="Style10"/>
        <w:widowControl w:val="0"/>
        <w:spacing w:after="120" w:line="240" w:lineRule="auto"/>
        <w:ind w:firstLine="0"/>
        <w:rPr>
          <w:rFonts w:eastAsia="微软雅黑" w:cs="Times New Roman"/>
          <w:lang w:val="en-US" w:eastAsia="zh-CN"/>
        </w:rPr>
      </w:pPr>
      <w:r>
        <w:rPr>
          <w:rFonts w:eastAsia="微软雅黑" w:cs="Times New Roman" w:hint="eastAsia"/>
          <w:lang w:val="en-US" w:eastAsia="zh-CN"/>
        </w:rPr>
        <w:t>C</w:t>
      </w:r>
      <w:r>
        <w:rPr>
          <w:rFonts w:eastAsia="微软雅黑" w:cs="Times New Roman"/>
          <w:lang w:val="en-US" w:eastAsia="zh-CN"/>
        </w:rPr>
        <w:t xml:space="preserve">onsidering above, we think Alt </w:t>
      </w:r>
      <w:r w:rsidR="00AC2140">
        <w:rPr>
          <w:rFonts w:eastAsia="微软雅黑" w:cs="Times New Roman"/>
          <w:lang w:val="en-US" w:eastAsia="zh-CN"/>
        </w:rPr>
        <w:t>2</w:t>
      </w:r>
      <w:r>
        <w:rPr>
          <w:rFonts w:eastAsia="微软雅黑" w:cs="Times New Roman"/>
          <w:lang w:val="en-US" w:eastAsia="zh-CN"/>
        </w:rPr>
        <w:t xml:space="preserve"> is a better trade-off between UE complexity and NW performance than Alt </w:t>
      </w:r>
      <w:r w:rsidR="00AC2140">
        <w:rPr>
          <w:rFonts w:eastAsia="微软雅黑" w:cs="Times New Roman"/>
          <w:lang w:val="en-US" w:eastAsia="zh-CN"/>
        </w:rPr>
        <w:t>3</w:t>
      </w:r>
      <w:r>
        <w:rPr>
          <w:rFonts w:eastAsia="微软雅黑" w:cs="Times New Roman"/>
          <w:lang w:val="en-US" w:eastAsia="zh-CN"/>
        </w:rPr>
        <w:t>. Therefore, we think it makes more sense to support N3&lt;=19 mandatory and N3&gt;19 optional.</w:t>
      </w:r>
      <w:r w:rsidR="009715DF">
        <w:rPr>
          <w:rFonts w:eastAsia="微软雅黑" w:cs="Times New Roman"/>
          <w:lang w:val="en-US" w:eastAsia="zh-CN"/>
        </w:rPr>
        <w:t xml:space="preserve"> In addition, the entire Rel-16 Type II CSI framework splits into two parts, including N3&lt;=19, where one-step FD indicator is used, and N3&gt;19, where two-step FD indicator is used. Hence Alt 2 can avoid mandatory UEs implement two different schemes and align with the general design principle for </w:t>
      </w:r>
      <w:proofErr w:type="spellStart"/>
      <w:r w:rsidR="009715DF">
        <w:rPr>
          <w:rFonts w:eastAsia="微软雅黑" w:cs="Times New Roman"/>
          <w:lang w:val="en-US" w:eastAsia="zh-CN"/>
        </w:rPr>
        <w:t>eTypeII</w:t>
      </w:r>
      <w:proofErr w:type="spellEnd"/>
      <w:r w:rsidR="009715DF">
        <w:rPr>
          <w:rFonts w:eastAsia="微软雅黑" w:cs="Times New Roman"/>
          <w:lang w:val="en-US" w:eastAsia="zh-CN"/>
        </w:rPr>
        <w:t xml:space="preserve"> CSI.</w:t>
      </w:r>
    </w:p>
    <w:p w14:paraId="082C8F70" w14:textId="77777777" w:rsidR="00303681" w:rsidRDefault="00BC1AE1">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1</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i/>
          <w:szCs w:val="20"/>
          <w:lang w:val="en-US"/>
        </w:rPr>
        <w:t>For UE capability on the number of PMI sub-bands,</w:t>
      </w:r>
      <w:r>
        <w:rPr>
          <w:rFonts w:ascii="Times New Roman" w:eastAsia="微软雅黑" w:hAnsi="Times New Roman" w:cs="Times New Roman"/>
          <w:i/>
          <w:szCs w:val="20"/>
          <w:lang w:val="en-US"/>
        </w:rPr>
        <w:t xml:space="preserve"> </w:t>
      </w:r>
      <w:r>
        <w:rPr>
          <w:rFonts w:ascii="Times New Roman" w:eastAsia="微软雅黑" w:hAnsi="Times New Roman" w:cs="Times New Roman" w:hint="eastAsia"/>
          <w:i/>
          <w:szCs w:val="20"/>
          <w:lang w:val="en-US"/>
        </w:rPr>
        <w:t>support mandatory for N</w:t>
      </w:r>
      <w:r>
        <w:rPr>
          <w:rFonts w:ascii="Times New Roman" w:eastAsia="微软雅黑" w:hAnsi="Times New Roman" w:cs="Times New Roman" w:hint="eastAsia"/>
          <w:i/>
          <w:szCs w:val="20"/>
          <w:vertAlign w:val="subscript"/>
          <w:lang w:val="en-US"/>
        </w:rPr>
        <w:t>3</w:t>
      </w:r>
      <w:r>
        <w:rPr>
          <w:rFonts w:ascii="Times New Roman" w:eastAsia="微软雅黑" w:hAnsi="Times New Roman" w:cs="Times New Roman" w:hint="eastAsia"/>
          <w:i/>
          <w:szCs w:val="20"/>
          <w:lang w:val="en-US"/>
        </w:rPr>
        <w:t>&lt;=19, optional for N</w:t>
      </w:r>
      <w:r>
        <w:rPr>
          <w:rFonts w:ascii="Times New Roman" w:eastAsia="微软雅黑" w:hAnsi="Times New Roman" w:cs="Times New Roman" w:hint="eastAsia"/>
          <w:i/>
          <w:szCs w:val="20"/>
          <w:vertAlign w:val="subscript"/>
          <w:lang w:val="en-US"/>
        </w:rPr>
        <w:t>3</w:t>
      </w:r>
      <w:r>
        <w:rPr>
          <w:rFonts w:ascii="Times New Roman" w:eastAsia="微软雅黑" w:hAnsi="Times New Roman" w:cs="Times New Roman" w:hint="eastAsia"/>
          <w:i/>
          <w:szCs w:val="20"/>
          <w:lang w:val="en-US"/>
        </w:rPr>
        <w:t>&gt;19.</w:t>
      </w:r>
    </w:p>
    <w:p w14:paraId="30877B14" w14:textId="77777777" w:rsidR="00303681" w:rsidRDefault="00BC1AE1">
      <w:pPr>
        <w:pStyle w:val="Heading2"/>
        <w:spacing w:before="120" w:afterLines="50" w:after="120" w:line="240" w:lineRule="auto"/>
        <w:ind w:left="573" w:hanging="573"/>
        <w:rPr>
          <w:sz w:val="24"/>
          <w:szCs w:val="24"/>
        </w:rPr>
      </w:pPr>
      <w:r>
        <w:rPr>
          <w:rFonts w:hint="eastAsia"/>
          <w:sz w:val="24"/>
          <w:szCs w:val="24"/>
        </w:rPr>
        <w:t xml:space="preserve">UE capability for rank 3 and 4 </w:t>
      </w:r>
    </w:p>
    <w:p w14:paraId="588986DE" w14:textId="660F5183" w:rsidR="00303681" w:rsidRDefault="00BC1AE1">
      <w:pPr>
        <w:spacing w:line="240" w:lineRule="auto"/>
        <w:jc w:val="both"/>
        <w:rPr>
          <w:sz w:val="20"/>
        </w:rPr>
      </w:pPr>
      <w:r>
        <w:rPr>
          <w:sz w:val="20"/>
        </w:rPr>
        <w:t>O</w:t>
      </w:r>
      <w:r>
        <w:rPr>
          <w:rFonts w:hint="eastAsia"/>
          <w:sz w:val="20"/>
        </w:rPr>
        <w:t>ne of the motivation of R</w:t>
      </w:r>
      <w:r>
        <w:rPr>
          <w:sz w:val="20"/>
        </w:rPr>
        <w:t>el</w:t>
      </w:r>
      <w:r>
        <w:rPr>
          <w:rFonts w:hint="eastAsia"/>
          <w:sz w:val="20"/>
        </w:rPr>
        <w:t>-16 Type II codebook is to extend maximum rank</w:t>
      </w:r>
      <w:r>
        <w:rPr>
          <w:sz w:val="20"/>
        </w:rPr>
        <w:t xml:space="preserve"> to </w:t>
      </w:r>
      <w:r>
        <w:rPr>
          <w:rFonts w:hint="eastAsia"/>
          <w:sz w:val="20"/>
        </w:rPr>
        <w:t>4 without significant overhead increase.</w:t>
      </w:r>
      <w:r>
        <w:rPr>
          <w:sz w:val="20"/>
        </w:rPr>
        <w:t xml:space="preserve"> The gain of having rank 4 is quite large. Further, as the overhead of rank 4 is comparable to rank 2, the extra UE complexity to support it can be controlled. In addition, in Rel-15, 4-layer PDSCH transmission is mandatory for bands where 4 Rx antennas are mandatory for single CC operation. Hence</w:t>
      </w:r>
      <w:r>
        <w:rPr>
          <w:rFonts w:hint="eastAsia"/>
          <w:sz w:val="20"/>
        </w:rPr>
        <w:t xml:space="preserve"> we </w:t>
      </w:r>
      <w:r>
        <w:rPr>
          <w:sz w:val="20"/>
        </w:rPr>
        <w:t>can reuse this principle for rank 3 and 4 support of Rel-16 enhanced Type II CSI.</w:t>
      </w:r>
      <w:r w:rsidR="0078129F">
        <w:rPr>
          <w:sz w:val="20"/>
        </w:rPr>
        <w:t xml:space="preserve"> Otherwise, without the support of rank 3 and 4 CSI report, the mandatory support of 4 PDSCH layers cannot be useful for FDD </w:t>
      </w:r>
      <w:r w:rsidR="003B7BB1">
        <w:rPr>
          <w:sz w:val="20"/>
        </w:rPr>
        <w:t>use cases</w:t>
      </w:r>
      <w:r w:rsidR="0078129F">
        <w:rPr>
          <w:sz w:val="20"/>
        </w:rPr>
        <w:t xml:space="preserve">. </w:t>
      </w:r>
    </w:p>
    <w:p w14:paraId="2F07D79E" w14:textId="77777777" w:rsidR="00303681" w:rsidRDefault="00BC1AE1">
      <w:pPr>
        <w:pStyle w:val="12"/>
        <w:snapToGrid w:val="0"/>
        <w:spacing w:before="120" w:afterLines="50" w:after="120"/>
        <w:ind w:leftChars="0" w:left="0" w:firstLine="0"/>
        <w:jc w:val="both"/>
        <w:rPr>
          <w:rFonts w:ascii="Times New Roman" w:eastAsia="微软雅黑" w:hAnsi="Times New Roman" w:cs="Times New Roman"/>
          <w:bCs/>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2</w:t>
      </w:r>
      <w:r>
        <w:rPr>
          <w:rFonts w:ascii="Times New Roman" w:eastAsia="微软雅黑" w:hAnsi="Times New Roman" w:cs="Times New Roman"/>
          <w:b/>
          <w:i/>
          <w:szCs w:val="20"/>
          <w:lang w:val="en-US"/>
        </w:rPr>
        <w:t>:</w:t>
      </w:r>
      <w:r>
        <w:rPr>
          <w:rFonts w:ascii="Times New Roman" w:eastAsia="微软雅黑" w:hAnsi="Times New Roman" w:cs="Times New Roman" w:hint="eastAsia"/>
          <w:bCs/>
          <w:i/>
          <w:szCs w:val="20"/>
          <w:lang w:val="en-US"/>
        </w:rPr>
        <w:t xml:space="preserve"> </w:t>
      </w:r>
      <w:r>
        <w:rPr>
          <w:rFonts w:ascii="Times New Roman" w:eastAsia="微软雅黑" w:hAnsi="Times New Roman" w:cs="Times New Roman"/>
          <w:bCs/>
          <w:i/>
          <w:szCs w:val="20"/>
          <w:lang w:val="en-US"/>
        </w:rPr>
        <w:t>At least for single CC operation, the</w:t>
      </w:r>
      <w:r>
        <w:rPr>
          <w:rFonts w:ascii="Times New Roman" w:eastAsia="微软雅黑" w:hAnsi="Times New Roman" w:cs="Times New Roman" w:hint="eastAsia"/>
          <w:bCs/>
          <w:i/>
          <w:szCs w:val="20"/>
          <w:lang w:val="en-US"/>
        </w:rPr>
        <w:t xml:space="preserve"> support</w:t>
      </w:r>
      <w:r>
        <w:rPr>
          <w:rFonts w:ascii="Times New Roman" w:eastAsia="微软雅黑" w:hAnsi="Times New Roman" w:cs="Times New Roman"/>
          <w:bCs/>
          <w:i/>
          <w:szCs w:val="20"/>
          <w:lang w:val="en-US"/>
        </w:rPr>
        <w:t xml:space="preserve"> of</w:t>
      </w:r>
      <w:r>
        <w:rPr>
          <w:rFonts w:ascii="Times New Roman" w:eastAsia="微软雅黑" w:hAnsi="Times New Roman" w:cs="Times New Roman" w:hint="eastAsia"/>
          <w:bCs/>
          <w:i/>
          <w:szCs w:val="20"/>
          <w:lang w:val="en-US"/>
        </w:rPr>
        <w:t xml:space="preserve"> rank 3 and 4</w:t>
      </w:r>
      <w:r>
        <w:rPr>
          <w:rFonts w:ascii="Times New Roman" w:eastAsia="微软雅黑" w:hAnsi="Times New Roman" w:cs="Times New Roman"/>
          <w:bCs/>
          <w:i/>
          <w:szCs w:val="20"/>
          <w:lang w:val="en-US"/>
        </w:rPr>
        <w:t xml:space="preserve"> is mandatory in the bands where 4</w:t>
      </w:r>
      <w:r>
        <w:rPr>
          <w:rFonts w:ascii="Times New Roman" w:eastAsia="微软雅黑" w:hAnsi="Times New Roman" w:cs="Times New Roman" w:hint="eastAsia"/>
          <w:bCs/>
          <w:i/>
          <w:szCs w:val="20"/>
          <w:lang w:val="en-US"/>
        </w:rPr>
        <w:t>R</w:t>
      </w:r>
      <w:r>
        <w:rPr>
          <w:rFonts w:ascii="Times New Roman" w:eastAsia="微软雅黑" w:hAnsi="Times New Roman" w:cs="Times New Roman"/>
          <w:bCs/>
          <w:i/>
          <w:szCs w:val="20"/>
          <w:lang w:val="en-US"/>
        </w:rPr>
        <w:t>x antennas are mandatory for Rel-16 enhanced Type II CSI</w:t>
      </w:r>
      <w:r>
        <w:rPr>
          <w:rFonts w:ascii="Times New Roman" w:eastAsia="微软雅黑" w:hAnsi="Times New Roman" w:cs="Times New Roman" w:hint="eastAsia"/>
          <w:bCs/>
          <w:i/>
          <w:szCs w:val="20"/>
          <w:lang w:val="en-US"/>
        </w:rPr>
        <w:t>.</w:t>
      </w:r>
    </w:p>
    <w:p w14:paraId="5AE785D7" w14:textId="77777777" w:rsidR="00303681" w:rsidRDefault="00BC1AE1">
      <w:pPr>
        <w:pStyle w:val="Heading2"/>
        <w:spacing w:before="120" w:afterLines="50" w:after="120" w:line="240" w:lineRule="auto"/>
        <w:ind w:left="573" w:hanging="573"/>
        <w:rPr>
          <w:sz w:val="24"/>
          <w:szCs w:val="24"/>
        </w:rPr>
      </w:pPr>
      <w:r>
        <w:rPr>
          <w:rFonts w:hint="eastAsia"/>
          <w:sz w:val="24"/>
          <w:szCs w:val="24"/>
        </w:rPr>
        <w:t>UE capability for concurrent codebooks</w:t>
      </w:r>
    </w:p>
    <w:p w14:paraId="7F0660D8" w14:textId="48511E0E" w:rsidR="00303681" w:rsidRDefault="00BC1AE1">
      <w:pPr>
        <w:spacing w:after="120" w:line="240" w:lineRule="auto"/>
        <w:jc w:val="both"/>
        <w:rPr>
          <w:sz w:val="20"/>
        </w:rPr>
      </w:pPr>
      <w:r>
        <w:rPr>
          <w:sz w:val="20"/>
        </w:rPr>
        <w:t>During</w:t>
      </w:r>
      <w:r>
        <w:rPr>
          <w:rFonts w:hint="eastAsia"/>
          <w:sz w:val="20"/>
        </w:rPr>
        <w:t xml:space="preserve"> the off-line email discussion,</w:t>
      </w:r>
      <w:r w:rsidR="003A4FD1">
        <w:rPr>
          <w:sz w:val="20"/>
        </w:rPr>
        <w:t xml:space="preserve"> </w:t>
      </w:r>
      <w:r>
        <w:rPr>
          <w:rFonts w:hint="eastAsia"/>
          <w:sz w:val="20"/>
        </w:rPr>
        <w:t xml:space="preserve">some companies had concern on current UE CSI capability </w:t>
      </w:r>
      <w:proofErr w:type="spellStart"/>
      <w:r>
        <w:rPr>
          <w:rFonts w:hint="eastAsia"/>
          <w:sz w:val="20"/>
        </w:rPr>
        <w:t>signalings.They</w:t>
      </w:r>
      <w:proofErr w:type="spellEnd"/>
      <w:r>
        <w:rPr>
          <w:rFonts w:hint="eastAsia"/>
          <w:sz w:val="20"/>
        </w:rPr>
        <w:t xml:space="preserve"> think that current UE capability </w:t>
      </w:r>
      <w:r w:rsidR="003A4FD1">
        <w:rPr>
          <w:sz w:val="20"/>
        </w:rPr>
        <w:t xml:space="preserve">signaling </w:t>
      </w:r>
      <w:r>
        <w:rPr>
          <w:rFonts w:hint="eastAsia"/>
          <w:sz w:val="20"/>
        </w:rPr>
        <w:t>( i.e. {max number of ports/resource, max number of resources, max number of total ports}) are defined for each codebook type across all CCs within a band. In some cases, when multiple codebook types</w:t>
      </w:r>
      <w:r w:rsidR="00717049">
        <w:rPr>
          <w:sz w:val="20"/>
        </w:rPr>
        <w:t xml:space="preserve"> </w:t>
      </w:r>
      <w:r>
        <w:rPr>
          <w:rFonts w:hint="eastAsia"/>
          <w:sz w:val="20"/>
        </w:rPr>
        <w:t>(</w:t>
      </w:r>
      <w:r>
        <w:rPr>
          <w:sz w:val="20"/>
        </w:rPr>
        <w:t>e.g., Rel-15 Type II + Type I, Rel-16 Type II + Type I</w:t>
      </w:r>
      <w:r>
        <w:rPr>
          <w:rFonts w:hint="eastAsia"/>
          <w:sz w:val="20"/>
        </w:rPr>
        <w:t>) are triggered simultaneously,</w:t>
      </w:r>
      <w:r w:rsidR="004C20B1">
        <w:rPr>
          <w:sz w:val="20"/>
        </w:rPr>
        <w:t xml:space="preserve"> </w:t>
      </w:r>
      <w:r>
        <w:rPr>
          <w:rFonts w:hint="eastAsia"/>
          <w:sz w:val="20"/>
        </w:rPr>
        <w:t>UE capability signaling can</w:t>
      </w:r>
      <w:r>
        <w:rPr>
          <w:sz w:val="20"/>
        </w:rPr>
        <w:t>’</w:t>
      </w:r>
      <w:r>
        <w:rPr>
          <w:rFonts w:hint="eastAsia"/>
          <w:sz w:val="20"/>
        </w:rPr>
        <w:t>t be shared among different codebook types.</w:t>
      </w:r>
      <w:r w:rsidR="004C20B1">
        <w:rPr>
          <w:sz w:val="20"/>
        </w:rPr>
        <w:t xml:space="preserve"> </w:t>
      </w:r>
      <w:r>
        <w:rPr>
          <w:rFonts w:hint="eastAsia"/>
          <w:sz w:val="20"/>
        </w:rPr>
        <w:t>Then,</w:t>
      </w:r>
      <w:r w:rsidR="004C20B1">
        <w:rPr>
          <w:sz w:val="20"/>
        </w:rPr>
        <w:t xml:space="preserve"> </w:t>
      </w:r>
      <w:r>
        <w:rPr>
          <w:rFonts w:hint="eastAsia"/>
          <w:sz w:val="20"/>
        </w:rPr>
        <w:t xml:space="preserve">UE may have to underreport </w:t>
      </w:r>
      <w:r>
        <w:rPr>
          <w:sz w:val="20"/>
        </w:rPr>
        <w:t>its</w:t>
      </w:r>
      <w:r>
        <w:rPr>
          <w:rFonts w:hint="eastAsia"/>
          <w:sz w:val="20"/>
        </w:rPr>
        <w:t xml:space="preserve"> capabilities. To address this issue,</w:t>
      </w:r>
      <w:r w:rsidR="00EA6ED2">
        <w:rPr>
          <w:sz w:val="20"/>
        </w:rPr>
        <w:t xml:space="preserve"> </w:t>
      </w:r>
      <w:r>
        <w:rPr>
          <w:rFonts w:hint="eastAsia"/>
          <w:sz w:val="20"/>
        </w:rPr>
        <w:t xml:space="preserve">some companies proposed to utilize </w:t>
      </w:r>
      <w:r>
        <w:rPr>
          <w:sz w:val="20"/>
        </w:rPr>
        <w:t>concurrent codebook capabilities</w:t>
      </w:r>
      <w:r>
        <w:rPr>
          <w:rFonts w:hint="eastAsia"/>
          <w:sz w:val="20"/>
        </w:rPr>
        <w:t xml:space="preserve">, shared upper limits among different codebook types or a </w:t>
      </w:r>
      <w:r>
        <w:rPr>
          <w:sz w:val="20"/>
        </w:rPr>
        <w:t>complementary UE capability</w:t>
      </w:r>
      <w:r>
        <w:rPr>
          <w:rFonts w:hint="eastAsia"/>
          <w:sz w:val="20"/>
        </w:rPr>
        <w:t xml:space="preserve"> to define what combinations are supported or not.</w:t>
      </w:r>
    </w:p>
    <w:p w14:paraId="32BE3335" w14:textId="77777777" w:rsidR="00303681" w:rsidRDefault="00BC1AE1">
      <w:pPr>
        <w:spacing w:after="120" w:line="240" w:lineRule="auto"/>
        <w:jc w:val="both"/>
        <w:rPr>
          <w:sz w:val="20"/>
        </w:rPr>
      </w:pPr>
      <w:r>
        <w:rPr>
          <w:rFonts w:hint="eastAsia"/>
          <w:sz w:val="20"/>
        </w:rPr>
        <w:t>From our point of view,</w:t>
      </w:r>
      <w:r w:rsidR="00EA6ED2">
        <w:rPr>
          <w:sz w:val="20"/>
        </w:rPr>
        <w:t xml:space="preserve"> </w:t>
      </w:r>
      <w:r>
        <w:rPr>
          <w:rFonts w:hint="eastAsia"/>
          <w:sz w:val="20"/>
        </w:rPr>
        <w:t>w</w:t>
      </w:r>
      <w:r>
        <w:rPr>
          <w:sz w:val="20"/>
        </w:rPr>
        <w:t xml:space="preserve">e are not sure </w:t>
      </w:r>
      <w:r>
        <w:rPr>
          <w:rFonts w:hint="eastAsia"/>
          <w:sz w:val="20"/>
        </w:rPr>
        <w:t>the exact use case of this</w:t>
      </w:r>
      <w:r>
        <w:rPr>
          <w:sz w:val="20"/>
        </w:rPr>
        <w:t>. The use case of configuring both Type I and Type II codebooks to a UE needs to be justified</w:t>
      </w:r>
      <w:r>
        <w:rPr>
          <w:rFonts w:hint="eastAsia"/>
          <w:sz w:val="20"/>
        </w:rPr>
        <w:t xml:space="preserve"> first</w:t>
      </w:r>
      <w:r>
        <w:rPr>
          <w:sz w:val="20"/>
        </w:rPr>
        <w:t>.</w:t>
      </w:r>
      <w:r>
        <w:rPr>
          <w:rFonts w:hint="eastAsia"/>
          <w:sz w:val="20"/>
        </w:rPr>
        <w:t xml:space="preserve"> </w:t>
      </w:r>
      <w:r w:rsidR="00E539C4">
        <w:rPr>
          <w:rFonts w:hint="eastAsia"/>
          <w:sz w:val="20"/>
        </w:rPr>
        <w:t>T</w:t>
      </w:r>
      <w:r>
        <w:rPr>
          <w:rFonts w:eastAsia="Batang"/>
          <w:sz w:val="20"/>
          <w:szCs w:val="20"/>
        </w:rPr>
        <w:t xml:space="preserve">ypical NW implementation would </w:t>
      </w:r>
      <w:r w:rsidR="00597D10">
        <w:rPr>
          <w:rFonts w:eastAsia="Batang" w:hint="eastAsia"/>
          <w:sz w:val="20"/>
          <w:szCs w:val="20"/>
        </w:rPr>
        <w:t>fa</w:t>
      </w:r>
      <w:r w:rsidR="00597D10">
        <w:rPr>
          <w:rFonts w:eastAsia="Batang"/>
          <w:sz w:val="20"/>
          <w:szCs w:val="20"/>
        </w:rPr>
        <w:t>il</w:t>
      </w:r>
      <w:r>
        <w:rPr>
          <w:rFonts w:eastAsia="Batang" w:hint="eastAsia"/>
          <w:sz w:val="20"/>
          <w:szCs w:val="20"/>
        </w:rPr>
        <w:t xml:space="preserve"> to have necessity to trigger multiple codebook types simultaneously, since Type I codebook is more suitable for low load scenarios</w:t>
      </w:r>
      <w:r w:rsidR="00503648">
        <w:rPr>
          <w:rFonts w:eastAsia="Batang" w:hint="eastAsia"/>
          <w:sz w:val="20"/>
          <w:szCs w:val="20"/>
        </w:rPr>
        <w:t xml:space="preserve"> and </w:t>
      </w:r>
      <w:r>
        <w:rPr>
          <w:rFonts w:eastAsia="Batang" w:hint="eastAsia"/>
          <w:sz w:val="20"/>
          <w:szCs w:val="20"/>
        </w:rPr>
        <w:t xml:space="preserve">Type II codebook is planned for </w:t>
      </w:r>
      <w:r>
        <w:rPr>
          <w:rFonts w:eastAsia="Batang"/>
          <w:sz w:val="20"/>
          <w:szCs w:val="20"/>
        </w:rPr>
        <w:t>MU-MIMO scheduling</w:t>
      </w:r>
      <w:r>
        <w:rPr>
          <w:rFonts w:eastAsia="Batang" w:hint="eastAsia"/>
          <w:sz w:val="20"/>
          <w:szCs w:val="20"/>
        </w:rPr>
        <w:t xml:space="preserve">. </w:t>
      </w:r>
      <w:r>
        <w:rPr>
          <w:sz w:val="20"/>
        </w:rPr>
        <w:t xml:space="preserve">Further, as Type II is mainly used for just one CSI-RS resource and large number of CSI-RS ports, a simpler </w:t>
      </w:r>
      <w:r w:rsidR="00935D04">
        <w:rPr>
          <w:rFonts w:hint="eastAsia"/>
          <w:sz w:val="20"/>
        </w:rPr>
        <w:t>UE</w:t>
      </w:r>
      <w:r w:rsidR="00935D04">
        <w:rPr>
          <w:sz w:val="20"/>
        </w:rPr>
        <w:t xml:space="preserve"> </w:t>
      </w:r>
      <w:r>
        <w:rPr>
          <w:sz w:val="20"/>
        </w:rPr>
        <w:t>implementation is to let hardware resource for processing Type II CSI fixed/pre-occupied, e.g., to reserve buffer of one resource with 32 ports for a CC. Hence the real benefit of jointly optimizing these two aspects is unclear to us. Last, we agree with many other companies that even if this issue is worthy to be discussed, the best venue to discuss it is the UE feature session.</w:t>
      </w:r>
    </w:p>
    <w:p w14:paraId="45BF5218" w14:textId="77777777" w:rsidR="00303681" w:rsidRDefault="00BC1AE1">
      <w:pPr>
        <w:pStyle w:val="12"/>
        <w:snapToGrid w:val="0"/>
        <w:spacing w:before="120" w:afterLines="50" w:after="120"/>
        <w:ind w:leftChars="0" w:left="0" w:firstLine="0"/>
        <w:jc w:val="both"/>
        <w:rPr>
          <w:rFonts w:ascii="Times New Roman" w:hAnsi="Times New Roman" w:cs="Times New Roman"/>
          <w:bCs/>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3</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bCs/>
          <w:i/>
          <w:szCs w:val="20"/>
          <w:lang w:val="en-US"/>
        </w:rPr>
        <w:t>Whether to support UE capability for concurrent codebooks should be</w:t>
      </w:r>
      <w:r w:rsidR="000B2E16">
        <w:rPr>
          <w:rFonts w:ascii="Times New Roman" w:eastAsia="微软雅黑" w:hAnsi="Times New Roman" w:cs="Times New Roman"/>
          <w:bCs/>
          <w:i/>
          <w:szCs w:val="20"/>
          <w:lang w:val="en-US"/>
        </w:rPr>
        <w:t xml:space="preserve"> further</w:t>
      </w:r>
      <w:r>
        <w:rPr>
          <w:rFonts w:ascii="Times New Roman" w:eastAsia="微软雅黑" w:hAnsi="Times New Roman" w:cs="Times New Roman" w:hint="eastAsia"/>
          <w:bCs/>
          <w:i/>
          <w:szCs w:val="20"/>
          <w:lang w:val="en-US"/>
        </w:rPr>
        <w:t xml:space="preserve"> discussed in </w:t>
      </w:r>
      <w:r w:rsidRPr="00153849">
        <w:rPr>
          <w:rFonts w:ascii="Times New Roman" w:eastAsia="微软雅黑" w:hAnsi="Times New Roman" w:cs="Times New Roman"/>
          <w:bCs/>
          <w:i/>
          <w:szCs w:val="20"/>
          <w:lang w:val="en-US"/>
        </w:rPr>
        <w:t>UE feature session.</w:t>
      </w:r>
    </w:p>
    <w:p w14:paraId="57BD3464" w14:textId="77777777" w:rsidR="00303681" w:rsidRDefault="00BC1AE1">
      <w:pPr>
        <w:pStyle w:val="Heading2"/>
        <w:spacing w:before="120" w:afterLines="50" w:after="120" w:line="240" w:lineRule="auto"/>
        <w:ind w:left="573" w:hanging="573"/>
        <w:rPr>
          <w:sz w:val="24"/>
          <w:szCs w:val="24"/>
        </w:rPr>
      </w:pPr>
      <w:r>
        <w:rPr>
          <w:rFonts w:hint="eastAsia"/>
          <w:sz w:val="24"/>
          <w:szCs w:val="24"/>
        </w:rPr>
        <w:t>CBSR description</w:t>
      </w:r>
    </w:p>
    <w:p w14:paraId="108FB9B9" w14:textId="77777777" w:rsidR="00303681" w:rsidRDefault="00BC1AE1">
      <w:pPr>
        <w:spacing w:after="120" w:line="240" w:lineRule="auto"/>
        <w:jc w:val="both"/>
        <w:rPr>
          <w:sz w:val="20"/>
        </w:rPr>
      </w:pPr>
      <w:r>
        <w:rPr>
          <w:sz w:val="20"/>
        </w:rPr>
        <w:t>During the email discussion on RRC parameters, it was agreed that there is no need for an additional RRC parameter to configure a UE for either “Alt0” or “Alt3A”</w:t>
      </w:r>
      <w:r>
        <w:rPr>
          <w:rFonts w:hint="eastAsia"/>
          <w:sz w:val="20"/>
        </w:rPr>
        <w:t xml:space="preserve"> when</w:t>
      </w:r>
      <w:r>
        <w:rPr>
          <w:sz w:val="20"/>
        </w:rPr>
        <w:t xml:space="preserve"> the UE is not capable of “Alt3A” (soft amplitude restriction).</w:t>
      </w:r>
      <w:r>
        <w:rPr>
          <w:rFonts w:hint="eastAsia"/>
          <w:sz w:val="20"/>
        </w:rPr>
        <w:t xml:space="preserve"> </w:t>
      </w:r>
      <w:r>
        <w:rPr>
          <w:sz w:val="20"/>
        </w:rPr>
        <w:t xml:space="preserve">Then the remaining issue is whether and how to define the UE behavior when it does not support Alt 3A. </w:t>
      </w:r>
    </w:p>
    <w:p w14:paraId="74D49611" w14:textId="77777777" w:rsidR="00303681" w:rsidRDefault="00BC1AE1">
      <w:pPr>
        <w:pStyle w:val="ListParagraph"/>
        <w:spacing w:after="120" w:line="240" w:lineRule="auto"/>
        <w:ind w:firstLineChars="0" w:firstLine="0"/>
        <w:jc w:val="both"/>
        <w:rPr>
          <w:sz w:val="20"/>
        </w:rPr>
      </w:pPr>
      <w:r>
        <w:rPr>
          <w:sz w:val="20"/>
        </w:rPr>
        <w:lastRenderedPageBreak/>
        <w:t>From our perspective</w:t>
      </w:r>
      <w:r>
        <w:rPr>
          <w:rFonts w:hint="eastAsia"/>
          <w:sz w:val="20"/>
        </w:rPr>
        <w:t>, some additional text</w:t>
      </w:r>
      <w:r>
        <w:rPr>
          <w:sz w:val="20"/>
        </w:rPr>
        <w:t xml:space="preserve"> in specification</w:t>
      </w:r>
      <w:r>
        <w:rPr>
          <w:rFonts w:hint="eastAsia"/>
          <w:sz w:val="20"/>
        </w:rPr>
        <w:t xml:space="preserve"> is needed to clarify the UE behavior when soft restriction is not supported. That is, UE is not expected to be configured with amplitude restriction other than {0</w:t>
      </w:r>
      <w:proofErr w:type="gramStart"/>
      <w:r>
        <w:rPr>
          <w:rFonts w:hint="eastAsia"/>
          <w:sz w:val="20"/>
        </w:rPr>
        <w:t>,1</w:t>
      </w:r>
      <w:proofErr w:type="gramEnd"/>
      <w:r>
        <w:rPr>
          <w:rFonts w:hint="eastAsia"/>
          <w:sz w:val="20"/>
        </w:rPr>
        <w:t xml:space="preserve">} when UE does not report the parameter </w:t>
      </w:r>
      <w:proofErr w:type="spellStart"/>
      <w:r>
        <w:rPr>
          <w:rFonts w:hint="eastAsia"/>
          <w:i/>
          <w:iCs/>
          <w:sz w:val="20"/>
        </w:rPr>
        <w:t>amplitudeSubsetRestriction</w:t>
      </w:r>
      <w:proofErr w:type="spellEnd"/>
      <w:r>
        <w:rPr>
          <w:rFonts w:hint="eastAsia"/>
          <w:i/>
          <w:iCs/>
          <w:sz w:val="20"/>
        </w:rPr>
        <w:t>=</w:t>
      </w:r>
      <w:r>
        <w:rPr>
          <w:i/>
          <w:iCs/>
          <w:sz w:val="20"/>
        </w:rPr>
        <w:t>’</w:t>
      </w:r>
      <w:r>
        <w:rPr>
          <w:rFonts w:hint="eastAsia"/>
          <w:i/>
          <w:iCs/>
          <w:sz w:val="20"/>
        </w:rPr>
        <w:t>supported</w:t>
      </w:r>
      <w:r>
        <w:rPr>
          <w:i/>
          <w:iCs/>
          <w:sz w:val="20"/>
        </w:rPr>
        <w:t>’</w:t>
      </w:r>
      <w:r>
        <w:rPr>
          <w:rFonts w:hint="eastAsia"/>
          <w:i/>
          <w:iCs/>
          <w:sz w:val="20"/>
        </w:rPr>
        <w:t>.</w:t>
      </w:r>
    </w:p>
    <w:p w14:paraId="1A8DFC4B" w14:textId="73D27AF8" w:rsidR="00303681" w:rsidRDefault="00BC1AE1">
      <w:pPr>
        <w:pStyle w:val="12"/>
        <w:snapToGrid w:val="0"/>
        <w:spacing w:before="120" w:afterLines="50" w:after="120"/>
        <w:ind w:leftChars="0" w:left="0" w:firstLine="0"/>
        <w:jc w:val="both"/>
        <w:rPr>
          <w:rFonts w:ascii="Times New Roman" w:eastAsia="微软雅黑" w:hAnsi="Times New Roman" w:cs="Times New Roman"/>
          <w:bCs/>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4</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bCs/>
          <w:i/>
          <w:szCs w:val="20"/>
          <w:lang w:val="en-US"/>
        </w:rPr>
        <w:t xml:space="preserve">When the UE is not capable of </w:t>
      </w:r>
      <w:r>
        <w:rPr>
          <w:rFonts w:ascii="Times New Roman" w:eastAsia="微软雅黑" w:hAnsi="Times New Roman" w:cs="Times New Roman" w:hint="eastAsia"/>
          <w:bCs/>
          <w:i/>
          <w:szCs w:val="20"/>
          <w:lang w:val="en-US"/>
        </w:rPr>
        <w:t>“</w:t>
      </w:r>
      <w:r>
        <w:rPr>
          <w:rFonts w:ascii="Times New Roman" w:eastAsia="微软雅黑" w:hAnsi="Times New Roman" w:cs="Times New Roman" w:hint="eastAsia"/>
          <w:bCs/>
          <w:i/>
          <w:szCs w:val="20"/>
          <w:lang w:val="en-US"/>
        </w:rPr>
        <w:t>Alt 3A</w:t>
      </w:r>
      <w:r>
        <w:rPr>
          <w:rFonts w:ascii="Times New Roman" w:eastAsia="微软雅黑" w:hAnsi="Times New Roman" w:cs="Times New Roman" w:hint="eastAsia"/>
          <w:bCs/>
          <w:i/>
          <w:szCs w:val="20"/>
          <w:lang w:val="en-US"/>
        </w:rPr>
        <w:t>”</w:t>
      </w:r>
      <w:r>
        <w:rPr>
          <w:rFonts w:ascii="Times New Roman" w:eastAsia="微软雅黑" w:hAnsi="Times New Roman" w:cs="Times New Roman" w:hint="eastAsia"/>
          <w:bCs/>
          <w:i/>
          <w:szCs w:val="20"/>
          <w:lang w:val="en-US"/>
        </w:rPr>
        <w:t xml:space="preserve"> for Rel.16 </w:t>
      </w:r>
      <w:r>
        <w:rPr>
          <w:rFonts w:ascii="Times New Roman" w:eastAsia="微软雅黑" w:hAnsi="Times New Roman" w:cs="Times New Roman"/>
          <w:bCs/>
          <w:i/>
          <w:szCs w:val="20"/>
          <w:lang w:val="en-US"/>
        </w:rPr>
        <w:t>T</w:t>
      </w:r>
      <w:r>
        <w:rPr>
          <w:rFonts w:ascii="Times New Roman" w:eastAsia="微软雅黑" w:hAnsi="Times New Roman" w:cs="Times New Roman" w:hint="eastAsia"/>
          <w:bCs/>
          <w:i/>
          <w:szCs w:val="20"/>
          <w:lang w:val="en-US"/>
        </w:rPr>
        <w:t>ype II CBSR, UE is not expected to be configured with amplitude restriction</w:t>
      </w:r>
      <w:r>
        <w:rPr>
          <w:rFonts w:ascii="Times New Roman" w:eastAsia="微软雅黑" w:hAnsi="Times New Roman" w:cs="Times New Roman"/>
          <w:bCs/>
          <w:i/>
          <w:szCs w:val="20"/>
          <w:lang w:val="en-US"/>
        </w:rPr>
        <w:t>s</w:t>
      </w:r>
      <w:r>
        <w:rPr>
          <w:rFonts w:ascii="Times New Roman" w:eastAsia="微软雅黑" w:hAnsi="Times New Roman" w:cs="Times New Roman" w:hint="eastAsia"/>
          <w:bCs/>
          <w:i/>
          <w:szCs w:val="20"/>
          <w:lang w:val="en-US"/>
        </w:rPr>
        <w:t xml:space="preserve"> other than {0,1}.</w:t>
      </w:r>
    </w:p>
    <w:p w14:paraId="5414954C" w14:textId="77777777" w:rsidR="00303681" w:rsidRDefault="00303681" w:rsidP="00153849">
      <w:pPr>
        <w:spacing w:after="120" w:line="240" w:lineRule="auto"/>
        <w:jc w:val="both"/>
        <w:rPr>
          <w:sz w:val="20"/>
        </w:rPr>
      </w:pPr>
    </w:p>
    <w:p w14:paraId="6F3DBB43" w14:textId="77777777" w:rsidR="00303681" w:rsidRDefault="00BC1AE1">
      <w:pPr>
        <w:pStyle w:val="Heading1"/>
        <w:tabs>
          <w:tab w:val="clear" w:pos="432"/>
        </w:tabs>
        <w:snapToGrid w:val="0"/>
        <w:spacing w:beforeLines="50" w:before="120" w:afterLines="50" w:after="120"/>
        <w:ind w:left="431" w:hanging="431"/>
        <w:rPr>
          <w:sz w:val="28"/>
          <w:lang w:val="en-US"/>
        </w:rPr>
      </w:pPr>
      <w:r>
        <w:rPr>
          <w:sz w:val="28"/>
          <w:lang w:val="en-US"/>
        </w:rPr>
        <w:t>Conclusion</w:t>
      </w:r>
    </w:p>
    <w:p w14:paraId="2E45F5B9" w14:textId="77777777" w:rsidR="00303681" w:rsidRDefault="00BC1AE1">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Type II enhancement for MU-MIMO. Based on the </w:t>
      </w:r>
      <w:proofErr w:type="gramStart"/>
      <w:r>
        <w:rPr>
          <w:rFonts w:eastAsia="微软雅黑"/>
          <w:sz w:val="20"/>
          <w:szCs w:val="20"/>
        </w:rPr>
        <w:t>discussion ,</w:t>
      </w:r>
      <w:proofErr w:type="gramEnd"/>
      <w:r>
        <w:rPr>
          <w:rFonts w:eastAsia="微软雅黑"/>
          <w:sz w:val="20"/>
          <w:szCs w:val="20"/>
        </w:rPr>
        <w:t xml:space="preserve"> we have the following  proposals.</w:t>
      </w:r>
    </w:p>
    <w:p w14:paraId="4CF081C3" w14:textId="77777777" w:rsidR="00303681" w:rsidRDefault="00BC1AE1">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1</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i/>
          <w:szCs w:val="20"/>
          <w:lang w:val="en-US"/>
        </w:rPr>
        <w:t>For UE capability on the number of PMI sub-bands,</w:t>
      </w:r>
      <w:r>
        <w:rPr>
          <w:rFonts w:ascii="Times New Roman" w:eastAsia="微软雅黑" w:hAnsi="Times New Roman" w:cs="Times New Roman"/>
          <w:i/>
          <w:szCs w:val="20"/>
          <w:lang w:val="en-US"/>
        </w:rPr>
        <w:t xml:space="preserve"> </w:t>
      </w:r>
      <w:r>
        <w:rPr>
          <w:rFonts w:ascii="Times New Roman" w:eastAsia="微软雅黑" w:hAnsi="Times New Roman" w:cs="Times New Roman" w:hint="eastAsia"/>
          <w:i/>
          <w:szCs w:val="20"/>
          <w:lang w:val="en-US"/>
        </w:rPr>
        <w:t>support mandatory for N</w:t>
      </w:r>
      <w:r>
        <w:rPr>
          <w:rFonts w:ascii="Times New Roman" w:eastAsia="微软雅黑" w:hAnsi="Times New Roman" w:cs="Times New Roman" w:hint="eastAsia"/>
          <w:i/>
          <w:szCs w:val="20"/>
          <w:vertAlign w:val="subscript"/>
          <w:lang w:val="en-US"/>
        </w:rPr>
        <w:t>3</w:t>
      </w:r>
      <w:r>
        <w:rPr>
          <w:rFonts w:ascii="Times New Roman" w:eastAsia="微软雅黑" w:hAnsi="Times New Roman" w:cs="Times New Roman" w:hint="eastAsia"/>
          <w:i/>
          <w:szCs w:val="20"/>
          <w:lang w:val="en-US"/>
        </w:rPr>
        <w:t>&lt;=19, optional for N</w:t>
      </w:r>
      <w:r>
        <w:rPr>
          <w:rFonts w:ascii="Times New Roman" w:eastAsia="微软雅黑" w:hAnsi="Times New Roman" w:cs="Times New Roman" w:hint="eastAsia"/>
          <w:i/>
          <w:szCs w:val="20"/>
          <w:vertAlign w:val="subscript"/>
          <w:lang w:val="en-US"/>
        </w:rPr>
        <w:t>3</w:t>
      </w:r>
      <w:r>
        <w:rPr>
          <w:rFonts w:ascii="Times New Roman" w:eastAsia="微软雅黑" w:hAnsi="Times New Roman" w:cs="Times New Roman" w:hint="eastAsia"/>
          <w:i/>
          <w:szCs w:val="20"/>
          <w:lang w:val="en-US"/>
        </w:rPr>
        <w:t>&gt;19.</w:t>
      </w:r>
    </w:p>
    <w:p w14:paraId="41AF0196" w14:textId="77777777" w:rsidR="00303681" w:rsidRDefault="00BC1AE1">
      <w:pPr>
        <w:pStyle w:val="12"/>
        <w:snapToGrid w:val="0"/>
        <w:spacing w:before="120" w:afterLines="50" w:after="120"/>
        <w:ind w:leftChars="0" w:left="0" w:firstLine="0"/>
        <w:jc w:val="both"/>
        <w:rPr>
          <w:rFonts w:ascii="Times New Roman" w:eastAsia="微软雅黑" w:hAnsi="Times New Roman" w:cs="Times New Roman"/>
          <w:bCs/>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2</w:t>
      </w:r>
      <w:r>
        <w:rPr>
          <w:rFonts w:ascii="Times New Roman" w:eastAsia="微软雅黑" w:hAnsi="Times New Roman" w:cs="Times New Roman"/>
          <w:b/>
          <w:i/>
          <w:szCs w:val="20"/>
          <w:lang w:val="en-US"/>
        </w:rPr>
        <w:t>:</w:t>
      </w:r>
      <w:r>
        <w:rPr>
          <w:rFonts w:ascii="Times New Roman" w:eastAsia="微软雅黑" w:hAnsi="Times New Roman" w:cs="Times New Roman" w:hint="eastAsia"/>
          <w:bCs/>
          <w:i/>
          <w:szCs w:val="20"/>
          <w:lang w:val="en-US"/>
        </w:rPr>
        <w:t xml:space="preserve"> </w:t>
      </w:r>
      <w:r>
        <w:rPr>
          <w:rFonts w:ascii="Times New Roman" w:eastAsia="微软雅黑" w:hAnsi="Times New Roman" w:cs="Times New Roman"/>
          <w:bCs/>
          <w:i/>
          <w:szCs w:val="20"/>
          <w:lang w:val="en-US"/>
        </w:rPr>
        <w:t>At least for single CC operation, the</w:t>
      </w:r>
      <w:r>
        <w:rPr>
          <w:rFonts w:ascii="Times New Roman" w:eastAsia="微软雅黑" w:hAnsi="Times New Roman" w:cs="Times New Roman" w:hint="eastAsia"/>
          <w:bCs/>
          <w:i/>
          <w:szCs w:val="20"/>
          <w:lang w:val="en-US"/>
        </w:rPr>
        <w:t xml:space="preserve"> support</w:t>
      </w:r>
      <w:r>
        <w:rPr>
          <w:rFonts w:ascii="Times New Roman" w:eastAsia="微软雅黑" w:hAnsi="Times New Roman" w:cs="Times New Roman"/>
          <w:bCs/>
          <w:i/>
          <w:szCs w:val="20"/>
          <w:lang w:val="en-US"/>
        </w:rPr>
        <w:t xml:space="preserve"> of</w:t>
      </w:r>
      <w:r>
        <w:rPr>
          <w:rFonts w:ascii="Times New Roman" w:eastAsia="微软雅黑" w:hAnsi="Times New Roman" w:cs="Times New Roman" w:hint="eastAsia"/>
          <w:bCs/>
          <w:i/>
          <w:szCs w:val="20"/>
          <w:lang w:val="en-US"/>
        </w:rPr>
        <w:t xml:space="preserve"> rank 3 and 4</w:t>
      </w:r>
      <w:r>
        <w:rPr>
          <w:rFonts w:ascii="Times New Roman" w:eastAsia="微软雅黑" w:hAnsi="Times New Roman" w:cs="Times New Roman"/>
          <w:bCs/>
          <w:i/>
          <w:szCs w:val="20"/>
          <w:lang w:val="en-US"/>
        </w:rPr>
        <w:t xml:space="preserve"> is mandatory in the bands where 4</w:t>
      </w:r>
      <w:r>
        <w:rPr>
          <w:rFonts w:ascii="Times New Roman" w:eastAsia="微软雅黑" w:hAnsi="Times New Roman" w:cs="Times New Roman" w:hint="eastAsia"/>
          <w:bCs/>
          <w:i/>
          <w:szCs w:val="20"/>
          <w:lang w:val="en-US"/>
        </w:rPr>
        <w:t>R</w:t>
      </w:r>
      <w:r>
        <w:rPr>
          <w:rFonts w:ascii="Times New Roman" w:eastAsia="微软雅黑" w:hAnsi="Times New Roman" w:cs="Times New Roman"/>
          <w:bCs/>
          <w:i/>
          <w:szCs w:val="20"/>
          <w:lang w:val="en-US"/>
        </w:rPr>
        <w:t>x antennas are mandatory for Rel-16 enhanced Type II CSI</w:t>
      </w:r>
      <w:r>
        <w:rPr>
          <w:rFonts w:ascii="Times New Roman" w:eastAsia="微软雅黑" w:hAnsi="Times New Roman" w:cs="Times New Roman" w:hint="eastAsia"/>
          <w:bCs/>
          <w:i/>
          <w:szCs w:val="20"/>
          <w:lang w:val="en-US"/>
        </w:rPr>
        <w:t>.</w:t>
      </w:r>
    </w:p>
    <w:p w14:paraId="71DCB8F9" w14:textId="77777777" w:rsidR="00303681" w:rsidRDefault="00BC1AE1">
      <w:pPr>
        <w:pStyle w:val="12"/>
        <w:snapToGrid w:val="0"/>
        <w:spacing w:before="120" w:afterLines="50" w:after="120"/>
        <w:ind w:leftChars="0" w:left="0" w:firstLine="0"/>
        <w:jc w:val="both"/>
        <w:rPr>
          <w:rFonts w:ascii="Times New Roman" w:hAnsi="Times New Roman" w:cs="Times New Roman"/>
          <w:bCs/>
          <w:i/>
          <w:szCs w:val="20"/>
          <w:lang w:val="en-US"/>
        </w:rPr>
      </w:pPr>
      <w:r>
        <w:rPr>
          <w:rFonts w:ascii="Times New Roman" w:eastAsia="微软雅黑" w:hAnsi="Times New Roman" w:cs="Times New Roman"/>
          <w:b/>
          <w:i/>
          <w:szCs w:val="20"/>
          <w:lang w:val="en-US"/>
        </w:rPr>
        <w:t xml:space="preserve">Proposal </w:t>
      </w:r>
      <w:r>
        <w:rPr>
          <w:rFonts w:ascii="Times New Roman" w:eastAsia="微软雅黑" w:hAnsi="Times New Roman" w:cs="Times New Roman" w:hint="eastAsia"/>
          <w:b/>
          <w:i/>
          <w:szCs w:val="20"/>
          <w:lang w:val="en-US"/>
        </w:rPr>
        <w:t>3</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bCs/>
          <w:i/>
          <w:szCs w:val="20"/>
          <w:lang w:val="en-US"/>
        </w:rPr>
        <w:t>Whether to support UE capability for concurrent codebooks should be</w:t>
      </w:r>
      <w:r w:rsidR="00D957FA">
        <w:rPr>
          <w:rFonts w:ascii="Times New Roman" w:eastAsia="微软雅黑" w:hAnsi="Times New Roman" w:cs="Times New Roman"/>
          <w:bCs/>
          <w:i/>
          <w:szCs w:val="20"/>
          <w:lang w:val="en-US"/>
        </w:rPr>
        <w:t xml:space="preserve"> further</w:t>
      </w:r>
      <w:r>
        <w:rPr>
          <w:rFonts w:ascii="Times New Roman" w:eastAsia="微软雅黑" w:hAnsi="Times New Roman" w:cs="Times New Roman" w:hint="eastAsia"/>
          <w:bCs/>
          <w:i/>
          <w:szCs w:val="20"/>
          <w:lang w:val="en-US"/>
        </w:rPr>
        <w:t xml:space="preserve"> discussed in </w:t>
      </w:r>
      <w:r w:rsidRPr="00153849">
        <w:rPr>
          <w:rFonts w:ascii="Times New Roman" w:eastAsia="微软雅黑" w:hAnsi="Times New Roman" w:cs="Times New Roman"/>
          <w:bCs/>
          <w:i/>
          <w:szCs w:val="20"/>
          <w:lang w:val="en-US"/>
        </w:rPr>
        <w:t>UE feature session</w:t>
      </w:r>
      <w:r>
        <w:rPr>
          <w:rFonts w:hint="eastAsia"/>
          <w:lang w:val="en-US"/>
        </w:rPr>
        <w:t>.</w:t>
      </w:r>
    </w:p>
    <w:p w14:paraId="3BB10E5C" w14:textId="31237173" w:rsidR="00303681" w:rsidRDefault="00BC1AE1">
      <w:pPr>
        <w:pStyle w:val="12"/>
        <w:snapToGrid w:val="0"/>
        <w:spacing w:before="120" w:afterLines="50" w:after="120"/>
        <w:ind w:leftChars="0" w:left="0" w:firstLine="0"/>
        <w:jc w:val="both"/>
        <w:rPr>
          <w:rFonts w:ascii="Times New Roman" w:eastAsia="微软雅黑" w:hAnsi="Times New Roman" w:cs="Times New Roman"/>
          <w:b/>
          <w:i/>
          <w:szCs w:val="20"/>
          <w:lang w:val="en-US"/>
        </w:rPr>
      </w:pPr>
      <w:r>
        <w:rPr>
          <w:rFonts w:ascii="Times New Roman" w:eastAsia="微软雅黑" w:hAnsi="Times New Roman" w:cs="Times New Roman"/>
          <w:b/>
          <w:i/>
          <w:szCs w:val="20"/>
          <w:lang w:val="en-US"/>
        </w:rPr>
        <w:t>Proposal</w:t>
      </w:r>
      <w:r>
        <w:rPr>
          <w:rFonts w:ascii="Times New Roman" w:eastAsia="微软雅黑" w:hAnsi="Times New Roman" w:cs="Times New Roman" w:hint="eastAsia"/>
          <w:b/>
          <w:i/>
          <w:szCs w:val="20"/>
          <w:lang w:val="en-US"/>
        </w:rPr>
        <w:t xml:space="preserve"> 4</w:t>
      </w:r>
      <w:r>
        <w:rPr>
          <w:rFonts w:ascii="Times New Roman" w:eastAsia="微软雅黑" w:hAnsi="Times New Roman" w:cs="Times New Roman"/>
          <w:b/>
          <w:i/>
          <w:szCs w:val="20"/>
          <w:lang w:val="en-US"/>
        </w:rPr>
        <w:t xml:space="preserve">: </w:t>
      </w:r>
      <w:r>
        <w:rPr>
          <w:rFonts w:ascii="Times New Roman" w:eastAsia="微软雅黑" w:hAnsi="Times New Roman" w:cs="Times New Roman" w:hint="eastAsia"/>
          <w:bCs/>
          <w:i/>
          <w:szCs w:val="20"/>
          <w:lang w:val="en-US"/>
        </w:rPr>
        <w:t xml:space="preserve">When the UE is not capable of </w:t>
      </w:r>
      <w:r>
        <w:rPr>
          <w:rFonts w:ascii="Times New Roman" w:eastAsia="微软雅黑" w:hAnsi="Times New Roman" w:cs="Times New Roman" w:hint="eastAsia"/>
          <w:bCs/>
          <w:i/>
          <w:szCs w:val="20"/>
          <w:lang w:val="en-US"/>
        </w:rPr>
        <w:t>“</w:t>
      </w:r>
      <w:r>
        <w:rPr>
          <w:rFonts w:ascii="Times New Roman" w:eastAsia="微软雅黑" w:hAnsi="Times New Roman" w:cs="Times New Roman" w:hint="eastAsia"/>
          <w:bCs/>
          <w:i/>
          <w:szCs w:val="20"/>
          <w:lang w:val="en-US"/>
        </w:rPr>
        <w:t>Alt 3A</w:t>
      </w:r>
      <w:r>
        <w:rPr>
          <w:rFonts w:ascii="Times New Roman" w:eastAsia="微软雅黑" w:hAnsi="Times New Roman" w:cs="Times New Roman" w:hint="eastAsia"/>
          <w:bCs/>
          <w:i/>
          <w:szCs w:val="20"/>
          <w:lang w:val="en-US"/>
        </w:rPr>
        <w:t>”</w:t>
      </w:r>
      <w:r>
        <w:rPr>
          <w:rFonts w:ascii="Times New Roman" w:eastAsia="微软雅黑" w:hAnsi="Times New Roman" w:cs="Times New Roman" w:hint="eastAsia"/>
          <w:bCs/>
          <w:i/>
          <w:szCs w:val="20"/>
          <w:lang w:val="en-US"/>
        </w:rPr>
        <w:t xml:space="preserve"> for Rel.16 </w:t>
      </w:r>
      <w:r>
        <w:rPr>
          <w:rFonts w:ascii="Times New Roman" w:eastAsia="微软雅黑" w:hAnsi="Times New Roman" w:cs="Times New Roman"/>
          <w:bCs/>
          <w:i/>
          <w:szCs w:val="20"/>
          <w:lang w:val="en-US"/>
        </w:rPr>
        <w:t>T</w:t>
      </w:r>
      <w:r>
        <w:rPr>
          <w:rFonts w:ascii="Times New Roman" w:eastAsia="微软雅黑" w:hAnsi="Times New Roman" w:cs="Times New Roman" w:hint="eastAsia"/>
          <w:bCs/>
          <w:i/>
          <w:szCs w:val="20"/>
          <w:lang w:val="en-US"/>
        </w:rPr>
        <w:t>ype II CBSR, UE is not expected to be configured with amplitude restriction</w:t>
      </w:r>
      <w:r>
        <w:rPr>
          <w:rFonts w:ascii="Times New Roman" w:eastAsia="微软雅黑" w:hAnsi="Times New Roman" w:cs="Times New Roman"/>
          <w:bCs/>
          <w:i/>
          <w:szCs w:val="20"/>
          <w:lang w:val="en-US"/>
        </w:rPr>
        <w:t>s</w:t>
      </w:r>
      <w:r>
        <w:rPr>
          <w:rFonts w:ascii="Times New Roman" w:eastAsia="微软雅黑" w:hAnsi="Times New Roman" w:cs="Times New Roman" w:hint="eastAsia"/>
          <w:bCs/>
          <w:i/>
          <w:szCs w:val="20"/>
          <w:lang w:val="en-US"/>
        </w:rPr>
        <w:t xml:space="preserve"> other than {0,1}.</w:t>
      </w:r>
    </w:p>
    <w:p w14:paraId="1280BA76" w14:textId="77777777" w:rsidR="00303681" w:rsidRDefault="00BC1AE1">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14:paraId="6F7E0EF1" w14:textId="77777777" w:rsidR="00303681" w:rsidRDefault="00BC1AE1">
      <w:pPr>
        <w:pStyle w:val="NoSpacing1"/>
        <w:snapToGrid w:val="0"/>
        <w:rPr>
          <w:bCs/>
          <w:sz w:val="20"/>
          <w:szCs w:val="20"/>
        </w:rPr>
      </w:pPr>
      <w:r>
        <w:rPr>
          <w:bCs/>
          <w:sz w:val="20"/>
          <w:szCs w:val="20"/>
        </w:rPr>
        <w:t>[1] Chairman’s notes, RAN1#98</w:t>
      </w:r>
      <w:r>
        <w:rPr>
          <w:rFonts w:hint="eastAsia"/>
          <w:bCs/>
          <w:sz w:val="20"/>
          <w:szCs w:val="20"/>
        </w:rPr>
        <w:t>Bis</w:t>
      </w:r>
    </w:p>
    <w:p w14:paraId="521017BB" w14:textId="77777777" w:rsidR="00303681" w:rsidRDefault="00303681"/>
    <w:p w14:paraId="4E6B353A" w14:textId="77777777" w:rsidR="00303681" w:rsidRDefault="00303681">
      <w:pPr>
        <w:pStyle w:val="ListParagraph"/>
        <w:spacing w:after="120" w:line="288" w:lineRule="auto"/>
        <w:ind w:firstLineChars="0" w:firstLine="0"/>
        <w:jc w:val="both"/>
      </w:pPr>
    </w:p>
    <w:p w14:paraId="01E5D92D" w14:textId="77777777" w:rsidR="00303681" w:rsidRDefault="00303681">
      <w:pPr>
        <w:pStyle w:val="NoSpacing1"/>
        <w:snapToGrid w:val="0"/>
        <w:rPr>
          <w:sz w:val="20"/>
          <w:szCs w:val="20"/>
        </w:rPr>
      </w:pPr>
    </w:p>
    <w:sectPr w:rsidR="00303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819"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nsid w:val="0DAA56AB"/>
    <w:multiLevelType w:val="multilevel"/>
    <w:tmpl w:val="0DAA5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0D11DB1"/>
    <w:multiLevelType w:val="multilevel"/>
    <w:tmpl w:val="20D11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79F530C"/>
    <w:multiLevelType w:val="multilevel"/>
    <w:tmpl w:val="479F530C"/>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nsid w:val="4A707979"/>
    <w:multiLevelType w:val="multilevel"/>
    <w:tmpl w:val="4A70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nsid w:val="70AF48CF"/>
    <w:multiLevelType w:val="multilevel"/>
    <w:tmpl w:val="70AF4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B247242"/>
    <w:multiLevelType w:val="multilevel"/>
    <w:tmpl w:val="7B247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num>
  <w:num w:numId="4">
    <w:abstractNumId w:val="2"/>
  </w:num>
  <w:num w:numId="5">
    <w:abstractNumId w:val="8"/>
  </w:num>
  <w:num w:numId="6">
    <w:abstractNumId w:val="9"/>
  </w:num>
  <w:num w:numId="7">
    <w:abstractNumId w:val="4"/>
  </w:num>
  <w:num w:numId="8">
    <w:abstractNumId w:val="6"/>
  </w:num>
  <w:num w:numId="9">
    <w:abstractNumId w:val="5"/>
  </w:num>
  <w:num w:numId="10">
    <w:abstractNumId w:val="13"/>
  </w:num>
  <w:num w:numId="11">
    <w:abstractNumId w:val="11"/>
  </w:num>
  <w:num w:numId="12">
    <w:abstractNumId w:val="7"/>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B7E"/>
    <w:rsid w:val="002811F3"/>
    <w:rsid w:val="00281283"/>
    <w:rsid w:val="00281355"/>
    <w:rsid w:val="00281756"/>
    <w:rsid w:val="002828EF"/>
    <w:rsid w:val="00282999"/>
    <w:rsid w:val="002829E5"/>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25A"/>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0DC"/>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85C69"/>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C4EC1"/>
  <w15:docId w15:val="{20E5CFE0-86B9-4A24-84E8-FB94A9D7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ind w:left="575"/>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5.bin"/><Relationship Id="rId26" Type="http://schemas.openxmlformats.org/officeDocument/2006/relationships/image" Target="media/image12.wmf"/><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oleObject" Target="embeddings/oleObject19.bin"/><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oleObject" Target="embeddings/oleObject12.bin"/><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20.bin"/><Relationship Id="rId8" Type="http://schemas.openxmlformats.org/officeDocument/2006/relationships/oleObject" Target="embeddings/oleObject1.bin"/><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B5C0A8-C9EC-4569-B991-A8F7B690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1736</Words>
  <Characters>9896</Characters>
  <Application>Microsoft Office Word</Application>
  <DocSecurity>0</DocSecurity>
  <Lines>82</Lines>
  <Paragraphs>23</Paragraphs>
  <ScaleCrop>false</ScaleCrop>
  <Company>www.zte.com.cn</Company>
  <LinksUpToDate>false</LinksUpToDate>
  <CharactersWithSpaces>11609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71</cp:revision>
  <dcterms:created xsi:type="dcterms:W3CDTF">2019-04-26T09:18:00Z</dcterms:created>
  <dcterms:modified xsi:type="dcterms:W3CDTF">2019-11-09T02:39:00Z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